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52B21" w14:textId="2F387258" w:rsidR="00A53848" w:rsidRPr="00974C1A" w:rsidRDefault="00A53848" w:rsidP="00A53848">
      <w:pPr>
        <w:tabs>
          <w:tab w:val="center" w:pos="4536"/>
          <w:tab w:val="right" w:pos="7938"/>
          <w:tab w:val="right" w:pos="9639"/>
        </w:tabs>
        <w:ind w:right="2"/>
        <w:rPr>
          <w:rFonts w:ascii="Arial" w:hAnsi="Arial" w:cs="Arial"/>
          <w:b/>
          <w:bCs/>
          <w:sz w:val="20"/>
          <w:szCs w:val="20"/>
        </w:rPr>
      </w:pPr>
      <w:r w:rsidRPr="00974C1A">
        <w:rPr>
          <w:rFonts w:ascii="Arial" w:hAnsi="Arial" w:cs="Arial"/>
          <w:b/>
          <w:bCs/>
          <w:sz w:val="20"/>
          <w:szCs w:val="20"/>
        </w:rPr>
        <w:t>3GPP TSG RAN WG1 #107-e</w:t>
      </w:r>
      <w:r w:rsidRPr="00974C1A">
        <w:rPr>
          <w:rFonts w:ascii="Arial" w:hAnsi="Arial" w:cs="Arial"/>
          <w:b/>
          <w:bCs/>
          <w:sz w:val="20"/>
          <w:szCs w:val="20"/>
        </w:rPr>
        <w:tab/>
      </w:r>
      <w:r w:rsidRPr="00974C1A">
        <w:rPr>
          <w:rFonts w:ascii="Arial" w:hAnsi="Arial" w:cs="Arial"/>
          <w:b/>
          <w:bCs/>
          <w:sz w:val="20"/>
          <w:szCs w:val="20"/>
        </w:rPr>
        <w:tab/>
      </w:r>
      <w:r w:rsidRPr="00974C1A">
        <w:rPr>
          <w:rFonts w:ascii="Arial" w:hAnsi="Arial" w:cs="Arial"/>
          <w:b/>
          <w:bCs/>
          <w:sz w:val="20"/>
          <w:szCs w:val="20"/>
        </w:rPr>
        <w:tab/>
      </w:r>
      <w:r w:rsidR="0048605D" w:rsidRPr="0048605D">
        <w:rPr>
          <w:rFonts w:ascii="Arial" w:hAnsi="Arial" w:cs="Arial"/>
          <w:b/>
          <w:bCs/>
          <w:sz w:val="20"/>
          <w:szCs w:val="20"/>
        </w:rPr>
        <w:t>R1-2111844</w:t>
      </w:r>
    </w:p>
    <w:p w14:paraId="25845A6C" w14:textId="77777777" w:rsidR="00A53848" w:rsidRPr="00974C1A" w:rsidRDefault="00A53848" w:rsidP="00A53848">
      <w:pPr>
        <w:tabs>
          <w:tab w:val="center" w:pos="4536"/>
          <w:tab w:val="right" w:pos="9072"/>
        </w:tabs>
        <w:rPr>
          <w:rFonts w:ascii="Arial" w:eastAsia="MS Mincho" w:hAnsi="Arial" w:cs="Arial"/>
          <w:b/>
          <w:bCs/>
          <w:sz w:val="20"/>
          <w:szCs w:val="20"/>
          <w:lang w:eastAsia="ja-JP"/>
        </w:rPr>
      </w:pPr>
      <w:r w:rsidRPr="00974C1A">
        <w:rPr>
          <w:rFonts w:ascii="Arial" w:eastAsia="MS Mincho" w:hAnsi="Arial" w:cs="Arial"/>
          <w:b/>
          <w:bCs/>
          <w:sz w:val="20"/>
          <w:szCs w:val="20"/>
          <w:lang w:eastAsia="ja-JP"/>
        </w:rPr>
        <w:t>e-Meeting, November 11</w:t>
      </w:r>
      <w:r w:rsidRPr="00974C1A">
        <w:rPr>
          <w:rFonts w:ascii="Arial" w:eastAsia="MS Mincho" w:hAnsi="Arial" w:cs="Arial"/>
          <w:b/>
          <w:bCs/>
          <w:sz w:val="20"/>
          <w:szCs w:val="20"/>
          <w:vertAlign w:val="superscript"/>
          <w:lang w:eastAsia="ja-JP"/>
        </w:rPr>
        <w:t>th</w:t>
      </w:r>
      <w:r w:rsidRPr="00974C1A">
        <w:rPr>
          <w:rFonts w:ascii="Arial" w:eastAsia="MS Mincho" w:hAnsi="Arial" w:cs="Arial"/>
          <w:b/>
          <w:bCs/>
          <w:sz w:val="20"/>
          <w:szCs w:val="20"/>
          <w:lang w:eastAsia="ja-JP"/>
        </w:rPr>
        <w:t xml:space="preserve"> – 19</w:t>
      </w:r>
      <w:r w:rsidRPr="00974C1A">
        <w:rPr>
          <w:rFonts w:ascii="Arial" w:eastAsia="MS Mincho" w:hAnsi="Arial" w:cs="Arial"/>
          <w:b/>
          <w:bCs/>
          <w:sz w:val="20"/>
          <w:szCs w:val="20"/>
          <w:vertAlign w:val="superscript"/>
          <w:lang w:eastAsia="ja-JP"/>
        </w:rPr>
        <w:t>th</w:t>
      </w:r>
      <w:r w:rsidRPr="00974C1A">
        <w:rPr>
          <w:rFonts w:ascii="Arial" w:eastAsia="MS Mincho" w:hAnsi="Arial" w:cs="Arial"/>
          <w:b/>
          <w:bCs/>
          <w:sz w:val="20"/>
          <w:szCs w:val="20"/>
          <w:lang w:eastAsia="ja-JP"/>
        </w:rPr>
        <w:t>, 2021</w:t>
      </w:r>
    </w:p>
    <w:p w14:paraId="5703750E" w14:textId="77777777" w:rsidR="00EE6453" w:rsidRPr="009A4868" w:rsidRDefault="00EE6453" w:rsidP="00EE6453">
      <w:pPr>
        <w:tabs>
          <w:tab w:val="left" w:pos="1985"/>
        </w:tabs>
        <w:jc w:val="both"/>
        <w:rPr>
          <w:rFonts w:ascii="Arial" w:hAnsi="Arial" w:cs="Arial"/>
          <w:highlight w:val="yellow"/>
        </w:rPr>
      </w:pPr>
    </w:p>
    <w:p w14:paraId="74071BAA" w14:textId="32A34D60"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677E21">
        <w:rPr>
          <w:rFonts w:ascii="Arial" w:hAnsi="Arial" w:cs="Arial"/>
          <w:b/>
          <w:lang w:val="en-US"/>
        </w:rPr>
        <w:t>5</w:t>
      </w:r>
      <w:r w:rsidR="00C67DA4">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53AAAECB"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E3567C" w:rsidRPr="00E3567C">
        <w:rPr>
          <w:rFonts w:ascii="Arial" w:hAnsi="Arial" w:cs="Arial"/>
          <w:b/>
          <w:lang w:val="en-US"/>
        </w:rPr>
        <w:t>Discussion on physical layer aspects of small data transmission</w:t>
      </w:r>
    </w:p>
    <w:p w14:paraId="258C8BD2" w14:textId="64A1D9B3"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4E71F2" w:rsidRPr="004E71F2">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2FCA37A1" w:rsidR="0039135A" w:rsidRDefault="0039135A" w:rsidP="0025389B">
      <w:pPr>
        <w:spacing w:after="120"/>
        <w:rPr>
          <w:rFonts w:eastAsia="SimSun"/>
          <w:noProof/>
          <w:sz w:val="20"/>
          <w:szCs w:val="20"/>
          <w:lang w:val="en-US" w:eastAsia="en-US"/>
        </w:rPr>
      </w:pPr>
      <w:r>
        <w:rPr>
          <w:rFonts w:eastAsia="SimSun"/>
          <w:noProof/>
          <w:sz w:val="20"/>
          <w:szCs w:val="20"/>
          <w:lang w:val="en-US" w:eastAsia="en-US"/>
        </w:rPr>
        <w:t xml:space="preserve">NR small data enhancement WI was started in RAN2#112-e meeting, an LS [1] was sent to RAN1 to request RAN1’s inputs on the following questions. </w:t>
      </w:r>
    </w:p>
    <w:p w14:paraId="53002D72" w14:textId="77777777" w:rsidR="0039135A" w:rsidRPr="0039135A" w:rsidRDefault="0039135A" w:rsidP="00042EFB">
      <w:pPr>
        <w:numPr>
          <w:ilvl w:val="0"/>
          <w:numId w:val="9"/>
        </w:numPr>
        <w:spacing w:after="120"/>
        <w:rPr>
          <w:rFonts w:eastAsia="SimSun"/>
          <w:bCs/>
          <w:noProof/>
          <w:sz w:val="20"/>
          <w:szCs w:val="20"/>
          <w:lang w:val="en-GB" w:eastAsia="en-US"/>
        </w:rPr>
      </w:pPr>
      <w:r w:rsidRPr="0039135A">
        <w:rPr>
          <w:rFonts w:eastAsia="SimSun"/>
          <w:bCs/>
          <w:noProof/>
          <w:sz w:val="20"/>
          <w:szCs w:val="20"/>
          <w:lang w:val="en-GB" w:eastAsia="en-US"/>
        </w:rPr>
        <w:t xml:space="preserve">Configuration of the coreset and search space for monitoring the PDCCH addressed to the C-RNTI after successful completion of the RACH procedure during RA-SDT. </w:t>
      </w:r>
    </w:p>
    <w:p w14:paraId="1CDACB58" w14:textId="3C91CAA2" w:rsidR="00FE526D" w:rsidRPr="0039135A" w:rsidRDefault="0039135A" w:rsidP="00042EFB">
      <w:pPr>
        <w:numPr>
          <w:ilvl w:val="0"/>
          <w:numId w:val="9"/>
        </w:numPr>
        <w:spacing w:after="120"/>
        <w:rPr>
          <w:rFonts w:eastAsia="SimSun"/>
          <w:bCs/>
          <w:noProof/>
          <w:sz w:val="20"/>
          <w:szCs w:val="20"/>
          <w:lang w:val="en-GB" w:eastAsia="en-US"/>
        </w:rPr>
      </w:pPr>
      <w:r w:rsidRPr="0039135A">
        <w:rPr>
          <w:rFonts w:eastAsia="SimSun"/>
          <w:bCs/>
          <w:noProof/>
          <w:sz w:val="20"/>
          <w:szCs w:val="20"/>
          <w:lang w:val="en-GB" w:eastAsia="en-US"/>
        </w:rPr>
        <w:t>Configuration of association between the type 1 CG resource(s) for CG-SDT and SSB(s)</w:t>
      </w:r>
      <w:r w:rsidR="004072F8" w:rsidRPr="0039135A">
        <w:rPr>
          <w:rFonts w:eastAsia="SimSun"/>
          <w:noProof/>
          <w:sz w:val="20"/>
          <w:szCs w:val="20"/>
          <w:lang w:val="en-US" w:eastAsia="en-US"/>
        </w:rPr>
        <w:t>.</w:t>
      </w:r>
    </w:p>
    <w:p w14:paraId="4E11C463" w14:textId="3D3B9178" w:rsidR="000D5476" w:rsidRDefault="000D5476" w:rsidP="00C56AD2">
      <w:pPr>
        <w:spacing w:before="120" w:after="120"/>
        <w:rPr>
          <w:rFonts w:eastAsia="MS Mincho"/>
          <w:sz w:val="20"/>
          <w:szCs w:val="20"/>
          <w:lang w:val="en-US" w:eastAsia="ja-JP"/>
        </w:rPr>
      </w:pPr>
      <w:r>
        <w:rPr>
          <w:rFonts w:eastAsia="MS Mincho"/>
          <w:sz w:val="20"/>
          <w:szCs w:val="20"/>
          <w:lang w:val="en-US" w:eastAsia="ja-JP"/>
        </w:rPr>
        <w:t xml:space="preserve">The agreements </w:t>
      </w:r>
      <w:r w:rsidR="00C56AD2">
        <w:rPr>
          <w:rFonts w:eastAsia="MS Mincho"/>
          <w:sz w:val="20"/>
          <w:szCs w:val="20"/>
          <w:lang w:val="en-US" w:eastAsia="ja-JP"/>
        </w:rPr>
        <w:t xml:space="preserve">on small data transmission made </w:t>
      </w:r>
      <w:r>
        <w:rPr>
          <w:rFonts w:eastAsia="MS Mincho"/>
          <w:sz w:val="20"/>
          <w:szCs w:val="20"/>
          <w:lang w:val="en-US" w:eastAsia="ja-JP"/>
        </w:rPr>
        <w:t>in RAN1#106</w:t>
      </w:r>
      <w:r w:rsidR="00C56AD2">
        <w:rPr>
          <w:rFonts w:eastAsia="MS Mincho"/>
          <w:sz w:val="20"/>
          <w:szCs w:val="20"/>
          <w:lang w:val="en-US" w:eastAsia="ja-JP"/>
        </w:rPr>
        <w:t>bis-</w:t>
      </w:r>
      <w:r>
        <w:rPr>
          <w:rFonts w:eastAsia="MS Mincho"/>
          <w:sz w:val="20"/>
          <w:szCs w:val="20"/>
          <w:lang w:val="en-US" w:eastAsia="ja-JP"/>
        </w:rPr>
        <w:t>e meeting are showing below</w:t>
      </w:r>
      <w:r w:rsidR="0012782A">
        <w:rPr>
          <w:rFonts w:eastAsia="MS Mincho"/>
          <w:sz w:val="20"/>
          <w:szCs w:val="20"/>
          <w:lang w:val="en-US" w:eastAsia="ja-JP"/>
        </w:rPr>
        <w:t xml:space="preserve"> </w:t>
      </w:r>
      <w:r>
        <w:rPr>
          <w:rFonts w:eastAsia="MS Mincho"/>
          <w:sz w:val="20"/>
          <w:szCs w:val="20"/>
          <w:lang w:val="en-US" w:eastAsia="ja-JP"/>
        </w:rPr>
        <w:t>[2].</w:t>
      </w:r>
    </w:p>
    <w:p w14:paraId="6CB67621" w14:textId="5BA4435B" w:rsidR="003367FA" w:rsidRDefault="00D45271" w:rsidP="0039135A">
      <w:pPr>
        <w:rPr>
          <w:rFonts w:eastAsia="MS Mincho"/>
          <w:sz w:val="20"/>
          <w:szCs w:val="20"/>
          <w:lang w:val="en-US" w:eastAsia="ja-JP"/>
        </w:rPr>
      </w:pPr>
      <w:r w:rsidRPr="00D45271">
        <w:rPr>
          <w:rFonts w:eastAsia="MS Mincho"/>
          <w:noProof/>
          <w:sz w:val="20"/>
          <w:szCs w:val="20"/>
          <w:lang w:val="en-US" w:eastAsia="ja-JP"/>
        </w:rPr>
        <mc:AlternateContent>
          <mc:Choice Requires="wps">
            <w:drawing>
              <wp:inline distT="0" distB="0" distL="0" distR="0" wp14:anchorId="7A15FCEC" wp14:editId="724FB5B2">
                <wp:extent cx="6120765" cy="5641200"/>
                <wp:effectExtent l="0" t="0" r="13335" b="95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641200"/>
                        </a:xfrm>
                        <a:prstGeom prst="rect">
                          <a:avLst/>
                        </a:prstGeom>
                        <a:solidFill>
                          <a:srgbClr val="FFFFFF"/>
                        </a:solidFill>
                        <a:ln w="9525">
                          <a:solidFill>
                            <a:srgbClr val="000000"/>
                          </a:solidFill>
                          <a:miter lim="800000"/>
                          <a:headEnd/>
                          <a:tailEnd/>
                        </a:ln>
                      </wps:spPr>
                      <wps:txbx>
                        <w:txbxContent>
                          <w:p w14:paraId="1A9D5B44" w14:textId="77777777" w:rsidR="003D50E3" w:rsidRPr="003D50E3" w:rsidRDefault="003D50E3" w:rsidP="003D50E3">
                            <w:pPr>
                              <w:pStyle w:val="NormalWeb"/>
                              <w:spacing w:before="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21C2F5E1" w14:textId="77777777" w:rsidR="003D50E3" w:rsidRPr="003D50E3" w:rsidRDefault="003D50E3" w:rsidP="003D50E3">
                            <w:pPr>
                              <w:rPr>
                                <w:rFonts w:cs="Times"/>
                                <w:sz w:val="20"/>
                                <w:szCs w:val="20"/>
                              </w:rPr>
                            </w:pPr>
                            <w:r w:rsidRPr="003D50E3">
                              <w:rPr>
                                <w:rFonts w:cs="Times"/>
                                <w:sz w:val="20"/>
                                <w:szCs w:val="20"/>
                              </w:rPr>
                              <w:t>Multi-layer PUSCH transmission is not supported for CG-SDT.</w:t>
                            </w:r>
                          </w:p>
                          <w:p w14:paraId="1CA7560F"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5A9D32CC" w14:textId="77777777" w:rsidR="003D50E3" w:rsidRPr="003D50E3" w:rsidRDefault="003D50E3" w:rsidP="003D50E3">
                            <w:pPr>
                              <w:rPr>
                                <w:rFonts w:cs="Times"/>
                                <w:sz w:val="20"/>
                                <w:szCs w:val="20"/>
                              </w:rPr>
                            </w:pPr>
                            <w:r w:rsidRPr="003D50E3">
                              <w:rPr>
                                <w:rFonts w:cs="Times"/>
                                <w:sz w:val="20"/>
                                <w:szCs w:val="20"/>
                              </w:rPr>
                              <w:t>When SSB set indication is absent, UE assumes the SSB set includes all actually transmitted SSBs configured by SIB1.</w:t>
                            </w:r>
                          </w:p>
                          <w:p w14:paraId="6F124738"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2B432D4D" w14:textId="77777777" w:rsidR="003D50E3" w:rsidRPr="003D50E3" w:rsidRDefault="003D50E3" w:rsidP="00A376B8">
                            <w:pPr>
                              <w:numPr>
                                <w:ilvl w:val="0"/>
                                <w:numId w:val="12"/>
                              </w:numPr>
                              <w:rPr>
                                <w:rFonts w:cs="Times"/>
                                <w:sz w:val="20"/>
                                <w:szCs w:val="20"/>
                              </w:rPr>
                            </w:pPr>
                            <w:r w:rsidRPr="003D50E3">
                              <w:rPr>
                                <w:rFonts w:cs="Times"/>
                                <w:sz w:val="20"/>
                                <w:szCs w:val="20"/>
                              </w:rPr>
                              <w:t>RAN1 confirms that common PUCCH resources (i.e. those that are shared with non-SDT UEs) can also be used for HARQ-ACK feedback for Msg4 /MsgB and subsequent SDT transmissions.</w:t>
                            </w:r>
                          </w:p>
                          <w:p w14:paraId="30E5B4F3" w14:textId="16F38E89" w:rsidR="003D50E3" w:rsidRPr="003D50E3" w:rsidRDefault="003D50E3" w:rsidP="00A376B8">
                            <w:pPr>
                              <w:numPr>
                                <w:ilvl w:val="0"/>
                                <w:numId w:val="12"/>
                              </w:numPr>
                              <w:rPr>
                                <w:rStyle w:val="Emphasis"/>
                                <w:rFonts w:cs="Times"/>
                                <w:i w:val="0"/>
                                <w:iCs w:val="0"/>
                                <w:sz w:val="20"/>
                                <w:szCs w:val="20"/>
                              </w:rPr>
                            </w:pPr>
                            <w:r w:rsidRPr="003D50E3">
                              <w:rPr>
                                <w:rFonts w:cs="Times"/>
                                <w:sz w:val="20"/>
                                <w:szCs w:val="20"/>
                              </w:rPr>
                              <w:t>RAN1 thinks there is no need for any other PUCCH resources than common PUCCH resources shared with non-SDT UEs.</w:t>
                            </w:r>
                          </w:p>
                          <w:p w14:paraId="775B8D24"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0E428722" w14:textId="77777777" w:rsidR="003D50E3" w:rsidRPr="003D50E3" w:rsidRDefault="003D50E3" w:rsidP="003D50E3">
                            <w:pPr>
                              <w:rPr>
                                <w:rFonts w:cs="Times"/>
                                <w:sz w:val="20"/>
                                <w:szCs w:val="20"/>
                              </w:rPr>
                            </w:pPr>
                            <w:r w:rsidRPr="003D50E3">
                              <w:rPr>
                                <w:rFonts w:cs="Times"/>
                                <w:sz w:val="20"/>
                                <w:szCs w:val="20"/>
                              </w:rPr>
                              <w:t>BFD/BFR procedure is not required for SDT in Rel-17.</w:t>
                            </w:r>
                          </w:p>
                          <w:p w14:paraId="2946C9F1" w14:textId="77777777" w:rsidR="003D50E3" w:rsidRPr="003D50E3" w:rsidRDefault="003D50E3" w:rsidP="00A376B8">
                            <w:pPr>
                              <w:numPr>
                                <w:ilvl w:val="0"/>
                                <w:numId w:val="11"/>
                              </w:numPr>
                              <w:snapToGrid w:val="0"/>
                              <w:jc w:val="both"/>
                              <w:rPr>
                                <w:bCs/>
                                <w:sz w:val="20"/>
                                <w:szCs w:val="20"/>
                              </w:rPr>
                            </w:pPr>
                            <w:r w:rsidRPr="003D50E3">
                              <w:rPr>
                                <w:bCs/>
                                <w:sz w:val="20"/>
                                <w:szCs w:val="20"/>
                              </w:rPr>
                              <w:t>FFS: whether or not to support reporting the beam change to gNB.</w:t>
                            </w:r>
                          </w:p>
                          <w:p w14:paraId="5FEA9822"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45DB2ADD" w14:textId="77777777" w:rsidR="003D50E3" w:rsidRPr="003D50E3" w:rsidRDefault="003D50E3" w:rsidP="003D50E3">
                            <w:pPr>
                              <w:rPr>
                                <w:rFonts w:cs="Times"/>
                                <w:sz w:val="20"/>
                                <w:szCs w:val="20"/>
                              </w:rPr>
                            </w:pPr>
                            <w:r w:rsidRPr="003D50E3">
                              <w:rPr>
                                <w:rFonts w:cs="Times"/>
                                <w:sz w:val="20"/>
                                <w:szCs w:val="20"/>
                              </w:rPr>
                              <w:t>For CG-SDT, the UE can assume the PDCCH carrying the DCI has the same DM-RS antenna port quasi co-location properties as for a SSB associated to the CG PUSCH transmission e.g. for detection of retransmission DCI in response to a CG PUSCH transmission.</w:t>
                            </w:r>
                          </w:p>
                          <w:p w14:paraId="6898C28B"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476C385F" w14:textId="77777777" w:rsidR="003D50E3" w:rsidRPr="003D50E3" w:rsidRDefault="003D50E3" w:rsidP="003D50E3">
                            <w:pPr>
                              <w:pStyle w:val="NormalWeb"/>
                              <w:spacing w:before="0" w:beforeAutospacing="0" w:after="0" w:afterAutospacing="0"/>
                              <w:rPr>
                                <w:rFonts w:ascii="Times" w:hAnsi="Times" w:cs="Times"/>
                                <w:sz w:val="20"/>
                                <w:szCs w:val="20"/>
                              </w:rPr>
                            </w:pPr>
                            <w:r w:rsidRPr="003D50E3">
                              <w:rPr>
                                <w:rFonts w:ascii="Times" w:hAnsi="Times" w:cs="Times"/>
                                <w:sz w:val="20"/>
                                <w:szCs w:val="20"/>
                              </w:rPr>
                              <w:t>The pathloss for CG-SDT PUSCH power control can be determined by the measurement of selected SSB associated with the CG PUSCH.</w:t>
                            </w:r>
                          </w:p>
                          <w:p w14:paraId="61D00467"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0445DF6E" w14:textId="77777777" w:rsidR="003D50E3" w:rsidRPr="003D50E3" w:rsidRDefault="003D50E3" w:rsidP="00A376B8">
                            <w:pPr>
                              <w:pStyle w:val="NormalWeb"/>
                              <w:numPr>
                                <w:ilvl w:val="0"/>
                                <w:numId w:val="13"/>
                              </w:numPr>
                              <w:spacing w:before="0" w:beforeAutospacing="0" w:after="0" w:afterAutospacing="0"/>
                              <w:rPr>
                                <w:rFonts w:ascii="Times" w:hAnsi="Times" w:cs="Times"/>
                                <w:sz w:val="20"/>
                                <w:szCs w:val="20"/>
                              </w:rPr>
                            </w:pPr>
                            <w:r w:rsidRPr="003D50E3">
                              <w:rPr>
                                <w:rFonts w:ascii="Times" w:hAnsi="Times" w:cs="Times"/>
                                <w:sz w:val="20"/>
                                <w:szCs w:val="20"/>
                              </w:rPr>
                              <w:t>Mapping ratio of SSB to CG PUSCH is configured per CG configuration.</w:t>
                            </w:r>
                          </w:p>
                          <w:p w14:paraId="079923AE" w14:textId="77777777" w:rsidR="003D50E3" w:rsidRPr="003D50E3" w:rsidRDefault="003D50E3" w:rsidP="00A376B8">
                            <w:pPr>
                              <w:pStyle w:val="NormalWeb"/>
                              <w:numPr>
                                <w:ilvl w:val="1"/>
                                <w:numId w:val="14"/>
                              </w:numPr>
                              <w:spacing w:before="0" w:beforeAutospacing="0" w:after="0" w:afterAutospacing="0"/>
                              <w:rPr>
                                <w:rFonts w:ascii="Times" w:hAnsi="Times" w:cs="Times"/>
                                <w:sz w:val="20"/>
                                <w:szCs w:val="20"/>
                              </w:rPr>
                            </w:pPr>
                            <w:r w:rsidRPr="003D50E3">
                              <w:rPr>
                                <w:rFonts w:ascii="Times" w:hAnsi="Times" w:cs="Times"/>
                                <w:sz w:val="20"/>
                                <w:szCs w:val="20"/>
                              </w:rPr>
                              <w:t>FFS whether to restrict the same value for all CG configuration and/or allow different value for different CG configurations.</w:t>
                            </w:r>
                          </w:p>
                          <w:p w14:paraId="18FA7DD7" w14:textId="77777777" w:rsidR="003D50E3" w:rsidRPr="003D50E3" w:rsidRDefault="003D50E3" w:rsidP="00A376B8">
                            <w:pPr>
                              <w:pStyle w:val="NormalWeb"/>
                              <w:numPr>
                                <w:ilvl w:val="0"/>
                                <w:numId w:val="13"/>
                              </w:numPr>
                              <w:spacing w:before="0" w:beforeAutospacing="0" w:after="0" w:afterAutospacing="0"/>
                              <w:rPr>
                                <w:rFonts w:ascii="Times" w:hAnsi="Times" w:cs="Times"/>
                                <w:sz w:val="20"/>
                                <w:szCs w:val="20"/>
                              </w:rPr>
                            </w:pPr>
                            <w:r w:rsidRPr="003D50E3">
                              <w:rPr>
                                <w:rFonts w:ascii="Times" w:hAnsi="Times" w:cs="Times"/>
                                <w:sz w:val="20"/>
                                <w:szCs w:val="20"/>
                              </w:rPr>
                              <w:t>For the candidate value set of SSB to CG PUSCH mapping ratio, support at least {1, 2, 4, 8, 16}</w:t>
                            </w:r>
                          </w:p>
                          <w:p w14:paraId="7428FFD7" w14:textId="7EB068D8" w:rsidR="003D50E3" w:rsidRPr="003D50E3" w:rsidRDefault="003D50E3" w:rsidP="00A376B8">
                            <w:pPr>
                              <w:pStyle w:val="NormalWeb"/>
                              <w:numPr>
                                <w:ilvl w:val="1"/>
                                <w:numId w:val="14"/>
                              </w:numPr>
                              <w:spacing w:before="0" w:beforeAutospacing="0" w:after="0" w:afterAutospacing="0"/>
                              <w:rPr>
                                <w:rFonts w:ascii="Times" w:hAnsi="Times" w:cs="Times"/>
                                <w:sz w:val="20"/>
                                <w:szCs w:val="20"/>
                              </w:rPr>
                            </w:pPr>
                            <w:r w:rsidRPr="003D50E3">
                              <w:rPr>
                                <w:rFonts w:ascii="Times" w:hAnsi="Times" w:cs="Times"/>
                                <w:sz w:val="20"/>
                                <w:szCs w:val="20"/>
                              </w:rPr>
                              <w:t>FFS {1/8,1/4,1/2}</w:t>
                            </w:r>
                          </w:p>
                          <w:p w14:paraId="63EBD071"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68A86A45" w14:textId="77777777" w:rsidR="003D50E3" w:rsidRPr="003D50E3" w:rsidRDefault="003D50E3" w:rsidP="00A376B8">
                            <w:pPr>
                              <w:pStyle w:val="NormalWeb"/>
                              <w:numPr>
                                <w:ilvl w:val="0"/>
                                <w:numId w:val="13"/>
                              </w:numPr>
                              <w:spacing w:before="0" w:beforeAutospacing="0" w:after="0" w:afterAutospacing="0"/>
                              <w:rPr>
                                <w:rFonts w:ascii="Times" w:hAnsi="Times" w:cs="Times"/>
                                <w:sz w:val="20"/>
                                <w:szCs w:val="20"/>
                              </w:rPr>
                            </w:pPr>
                            <w:r w:rsidRPr="003D50E3">
                              <w:rPr>
                                <w:rFonts w:ascii="Times" w:hAnsi="Times" w:cs="Times"/>
                                <w:sz w:val="20"/>
                                <w:szCs w:val="20"/>
                              </w:rPr>
                              <w:t>RAN1 confirms the working assumption in RAN2 that UE-specific search space is configured for UEs performing CG-SDT. This does not exclude the configuration of CSS for UEs performing CG-SDT.</w:t>
                            </w:r>
                          </w:p>
                          <w:p w14:paraId="018EA287" w14:textId="0311C4D1" w:rsidR="003D50E3" w:rsidRPr="003D50E3" w:rsidRDefault="003D50E3" w:rsidP="00A376B8">
                            <w:pPr>
                              <w:pStyle w:val="NormalWeb"/>
                              <w:numPr>
                                <w:ilvl w:val="0"/>
                                <w:numId w:val="13"/>
                              </w:numPr>
                              <w:spacing w:before="0" w:beforeAutospacing="0" w:after="0" w:afterAutospacing="0"/>
                              <w:rPr>
                                <w:rFonts w:ascii="Times" w:hAnsi="Times" w:cs="Times"/>
                                <w:sz w:val="20"/>
                                <w:szCs w:val="20"/>
                              </w:rPr>
                            </w:pPr>
                            <w:r w:rsidRPr="003D50E3">
                              <w:rPr>
                                <w:rFonts w:ascii="Times" w:hAnsi="Times" w:cs="Times"/>
                                <w:sz w:val="20"/>
                                <w:szCs w:val="20"/>
                              </w:rPr>
                              <w:t>CORESET for UE performing RA-SDT should be a common CORESET.</w:t>
                            </w:r>
                          </w:p>
                          <w:p w14:paraId="57FDC718"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3DCBCA72" w14:textId="77777777" w:rsidR="003D50E3" w:rsidRPr="003D50E3" w:rsidRDefault="003D50E3" w:rsidP="003D50E3">
                            <w:pPr>
                              <w:pStyle w:val="ListParagraph"/>
                              <w:ind w:left="0"/>
                              <w:jc w:val="both"/>
                              <w:rPr>
                                <w:rFonts w:cs="Times"/>
                                <w:sz w:val="20"/>
                                <w:szCs w:val="20"/>
                                <w:lang w:eastAsia="zh-CN"/>
                              </w:rPr>
                            </w:pPr>
                            <w:r w:rsidRPr="003D50E3">
                              <w:rPr>
                                <w:rFonts w:cs="Times"/>
                                <w:sz w:val="20"/>
                                <w:szCs w:val="20"/>
                                <w:lang w:eastAsia="zh-CN"/>
                              </w:rPr>
                              <w:t>A CG PUSCH occasion is not valid if it overlaps with any valid PRACH occasion.</w:t>
                            </w:r>
                          </w:p>
                          <w:p w14:paraId="3CE0D56C" w14:textId="631A721A" w:rsidR="00D45271" w:rsidRPr="003D50E3" w:rsidRDefault="003D50E3" w:rsidP="00A376B8">
                            <w:pPr>
                              <w:pStyle w:val="NormalWeb"/>
                              <w:numPr>
                                <w:ilvl w:val="0"/>
                                <w:numId w:val="13"/>
                              </w:numPr>
                              <w:spacing w:before="0" w:beforeAutospacing="0" w:after="0" w:afterAutospacing="0"/>
                              <w:rPr>
                                <w:rFonts w:ascii="Times" w:hAnsi="Times" w:cs="Times"/>
                                <w:sz w:val="20"/>
                                <w:szCs w:val="20"/>
                              </w:rPr>
                            </w:pPr>
                            <w:r w:rsidRPr="003D50E3">
                              <w:rPr>
                                <w:rFonts w:ascii="Times" w:hAnsi="Times" w:cs="Times"/>
                                <w:sz w:val="20"/>
                                <w:szCs w:val="20"/>
                              </w:rPr>
                              <w:t>FFS overlapping between CG PUSCH occasions and MsgA PUSCH occasion</w:t>
                            </w:r>
                          </w:p>
                        </w:txbxContent>
                      </wps:txbx>
                      <wps:bodyPr rot="0" vert="horz" wrap="square" lIns="91440" tIns="45720" rIns="91440" bIns="45720" anchor="t" anchorCtr="0">
                        <a:spAutoFit/>
                      </wps:bodyPr>
                    </wps:wsp>
                  </a:graphicData>
                </a:graphic>
              </wp:inline>
            </w:drawing>
          </mc:Choice>
          <mc:Fallback>
            <w:pict>
              <v:shapetype w14:anchorId="7A15FCEC" id="_x0000_t202" coordsize="21600,21600" o:spt="202" path="m,l,21600r21600,l21600,xe">
                <v:stroke joinstyle="miter"/>
                <v:path gradientshapeok="t" o:connecttype="rect"/>
              </v:shapetype>
              <v:shape id="Text Box 2" o:spid="_x0000_s1026" type="#_x0000_t202" style="width:481.95pt;height:44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">
                <v:textbox style="mso-fit-shape-to-text:t">
                  <w:txbxContent>
                    <w:p w14:paraId="1A9D5B44" w14:textId="77777777" w:rsidR="003D50E3" w:rsidRPr="003D50E3" w:rsidRDefault="003D50E3" w:rsidP="003D50E3">
                      <w:pPr>
                        <w:pStyle w:val="NormalWeb"/>
                        <w:spacing w:before="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21C2F5E1" w14:textId="77777777" w:rsidR="003D50E3" w:rsidRPr="003D50E3" w:rsidRDefault="003D50E3" w:rsidP="003D50E3">
                      <w:pPr>
                        <w:rPr>
                          <w:rFonts w:cs="Times"/>
                          <w:sz w:val="20"/>
                          <w:szCs w:val="20"/>
                        </w:rPr>
                      </w:pPr>
                      <w:r w:rsidRPr="003D50E3">
                        <w:rPr>
                          <w:rFonts w:cs="Times"/>
                          <w:sz w:val="20"/>
                          <w:szCs w:val="20"/>
                        </w:rPr>
                        <w:t>Multi-layer PUSCH transmission is not supported for CG-SDT.</w:t>
                      </w:r>
                    </w:p>
                    <w:p w14:paraId="1CA7560F"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5A9D32CC" w14:textId="77777777" w:rsidR="003D50E3" w:rsidRPr="003D50E3" w:rsidRDefault="003D50E3" w:rsidP="003D50E3">
                      <w:pPr>
                        <w:rPr>
                          <w:rFonts w:cs="Times"/>
                          <w:sz w:val="20"/>
                          <w:szCs w:val="20"/>
                        </w:rPr>
                      </w:pPr>
                      <w:r w:rsidRPr="003D50E3">
                        <w:rPr>
                          <w:rFonts w:cs="Times"/>
                          <w:sz w:val="20"/>
                          <w:szCs w:val="20"/>
                        </w:rPr>
                        <w:t>When SSB set indication is absent, UE assumes the SSB set includes all actually transmitted SSBs configured by SIB1.</w:t>
                      </w:r>
                    </w:p>
                    <w:p w14:paraId="6F124738"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2B432D4D" w14:textId="77777777" w:rsidR="003D50E3" w:rsidRPr="003D50E3" w:rsidRDefault="003D50E3" w:rsidP="00A376B8">
                      <w:pPr>
                        <w:numPr>
                          <w:ilvl w:val="0"/>
                          <w:numId w:val="12"/>
                        </w:numPr>
                        <w:rPr>
                          <w:rFonts w:cs="Times"/>
                          <w:sz w:val="20"/>
                          <w:szCs w:val="20"/>
                        </w:rPr>
                      </w:pPr>
                      <w:r w:rsidRPr="003D50E3">
                        <w:rPr>
                          <w:rFonts w:cs="Times"/>
                          <w:sz w:val="20"/>
                          <w:szCs w:val="20"/>
                        </w:rPr>
                        <w:t>RAN1 confirms that common PUCCH resources (i.e. those that are shared with non-SDT UEs) can also be used for HARQ-ACK feedback for Msg4 /MsgB and subsequent SDT transmissions.</w:t>
                      </w:r>
                    </w:p>
                    <w:p w14:paraId="30E5B4F3" w14:textId="16F38E89" w:rsidR="003D50E3" w:rsidRPr="003D50E3" w:rsidRDefault="003D50E3" w:rsidP="00A376B8">
                      <w:pPr>
                        <w:numPr>
                          <w:ilvl w:val="0"/>
                          <w:numId w:val="12"/>
                        </w:numPr>
                        <w:rPr>
                          <w:rStyle w:val="Emphasis"/>
                          <w:rFonts w:cs="Times"/>
                          <w:i w:val="0"/>
                          <w:iCs w:val="0"/>
                          <w:sz w:val="20"/>
                          <w:szCs w:val="20"/>
                        </w:rPr>
                      </w:pPr>
                      <w:r w:rsidRPr="003D50E3">
                        <w:rPr>
                          <w:rFonts w:cs="Times"/>
                          <w:sz w:val="20"/>
                          <w:szCs w:val="20"/>
                        </w:rPr>
                        <w:t>RAN1 thinks there is no need for any other PUCCH resources than common PUCCH resources shared with non-SDT UEs.</w:t>
                      </w:r>
                    </w:p>
                    <w:p w14:paraId="775B8D24"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0E428722" w14:textId="77777777" w:rsidR="003D50E3" w:rsidRPr="003D50E3" w:rsidRDefault="003D50E3" w:rsidP="003D50E3">
                      <w:pPr>
                        <w:rPr>
                          <w:rFonts w:cs="Times"/>
                          <w:sz w:val="20"/>
                          <w:szCs w:val="20"/>
                        </w:rPr>
                      </w:pPr>
                      <w:r w:rsidRPr="003D50E3">
                        <w:rPr>
                          <w:rFonts w:cs="Times"/>
                          <w:sz w:val="20"/>
                          <w:szCs w:val="20"/>
                        </w:rPr>
                        <w:t>BFD/BFR procedure is not required for SDT in Rel-17.</w:t>
                      </w:r>
                    </w:p>
                    <w:p w14:paraId="2946C9F1" w14:textId="77777777" w:rsidR="003D50E3" w:rsidRPr="003D50E3" w:rsidRDefault="003D50E3" w:rsidP="00A376B8">
                      <w:pPr>
                        <w:numPr>
                          <w:ilvl w:val="0"/>
                          <w:numId w:val="11"/>
                        </w:numPr>
                        <w:snapToGrid w:val="0"/>
                        <w:jc w:val="both"/>
                        <w:rPr>
                          <w:bCs/>
                          <w:sz w:val="20"/>
                          <w:szCs w:val="20"/>
                        </w:rPr>
                      </w:pPr>
                      <w:r w:rsidRPr="003D50E3">
                        <w:rPr>
                          <w:bCs/>
                          <w:sz w:val="20"/>
                          <w:szCs w:val="20"/>
                        </w:rPr>
                        <w:t>FFS: whether or not to support reporting the beam change to gNB.</w:t>
                      </w:r>
                    </w:p>
                    <w:p w14:paraId="5FEA9822"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45DB2ADD" w14:textId="77777777" w:rsidR="003D50E3" w:rsidRPr="003D50E3" w:rsidRDefault="003D50E3" w:rsidP="003D50E3">
                      <w:pPr>
                        <w:rPr>
                          <w:rFonts w:cs="Times"/>
                          <w:sz w:val="20"/>
                          <w:szCs w:val="20"/>
                        </w:rPr>
                      </w:pPr>
                      <w:r w:rsidRPr="003D50E3">
                        <w:rPr>
                          <w:rFonts w:cs="Times"/>
                          <w:sz w:val="20"/>
                          <w:szCs w:val="20"/>
                        </w:rPr>
                        <w:t>For CG-SDT, the UE can assume the PDCCH carrying the DCI has the same DM-RS antenna port quasi co-location properties as for a SSB associated to the CG PUSCH transmission e.g. for detection of retransmission DCI in response to a CG PUSCH transmission.</w:t>
                      </w:r>
                    </w:p>
                    <w:p w14:paraId="6898C28B"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476C385F" w14:textId="77777777" w:rsidR="003D50E3" w:rsidRPr="003D50E3" w:rsidRDefault="003D50E3" w:rsidP="003D50E3">
                      <w:pPr>
                        <w:pStyle w:val="NormalWeb"/>
                        <w:spacing w:before="0" w:beforeAutospacing="0" w:after="0" w:afterAutospacing="0"/>
                        <w:rPr>
                          <w:rFonts w:ascii="Times" w:hAnsi="Times" w:cs="Times"/>
                          <w:sz w:val="20"/>
                          <w:szCs w:val="20"/>
                        </w:rPr>
                      </w:pPr>
                      <w:r w:rsidRPr="003D50E3">
                        <w:rPr>
                          <w:rFonts w:ascii="Times" w:hAnsi="Times" w:cs="Times"/>
                          <w:sz w:val="20"/>
                          <w:szCs w:val="20"/>
                        </w:rPr>
                        <w:t>The pathloss for CG-SDT PUSCH power control can be determined by the measurement of selected SSB associated with the CG PUSCH.</w:t>
                      </w:r>
                    </w:p>
                    <w:p w14:paraId="61D00467"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0445DF6E" w14:textId="77777777" w:rsidR="003D50E3" w:rsidRPr="003D50E3" w:rsidRDefault="003D50E3" w:rsidP="00A376B8">
                      <w:pPr>
                        <w:pStyle w:val="NormalWeb"/>
                        <w:numPr>
                          <w:ilvl w:val="0"/>
                          <w:numId w:val="13"/>
                        </w:numPr>
                        <w:spacing w:before="0" w:beforeAutospacing="0" w:after="0" w:afterAutospacing="0"/>
                        <w:rPr>
                          <w:rFonts w:ascii="Times" w:hAnsi="Times" w:cs="Times"/>
                          <w:sz w:val="20"/>
                          <w:szCs w:val="20"/>
                        </w:rPr>
                      </w:pPr>
                      <w:r w:rsidRPr="003D50E3">
                        <w:rPr>
                          <w:rFonts w:ascii="Times" w:hAnsi="Times" w:cs="Times"/>
                          <w:sz w:val="20"/>
                          <w:szCs w:val="20"/>
                        </w:rPr>
                        <w:t>Mapping ratio of SSB to CG PUSCH is configured per CG configuration.</w:t>
                      </w:r>
                    </w:p>
                    <w:p w14:paraId="079923AE" w14:textId="77777777" w:rsidR="003D50E3" w:rsidRPr="003D50E3" w:rsidRDefault="003D50E3" w:rsidP="00A376B8">
                      <w:pPr>
                        <w:pStyle w:val="NormalWeb"/>
                        <w:numPr>
                          <w:ilvl w:val="1"/>
                          <w:numId w:val="14"/>
                        </w:numPr>
                        <w:spacing w:before="0" w:beforeAutospacing="0" w:after="0" w:afterAutospacing="0"/>
                        <w:rPr>
                          <w:rFonts w:ascii="Times" w:hAnsi="Times" w:cs="Times"/>
                          <w:sz w:val="20"/>
                          <w:szCs w:val="20"/>
                        </w:rPr>
                      </w:pPr>
                      <w:r w:rsidRPr="003D50E3">
                        <w:rPr>
                          <w:rFonts w:ascii="Times" w:hAnsi="Times" w:cs="Times"/>
                          <w:sz w:val="20"/>
                          <w:szCs w:val="20"/>
                        </w:rPr>
                        <w:t>FFS whether to restrict the same value for all CG configuration and/or allow different value for different CG configurations.</w:t>
                      </w:r>
                    </w:p>
                    <w:p w14:paraId="18FA7DD7" w14:textId="77777777" w:rsidR="003D50E3" w:rsidRPr="003D50E3" w:rsidRDefault="003D50E3" w:rsidP="00A376B8">
                      <w:pPr>
                        <w:pStyle w:val="NormalWeb"/>
                        <w:numPr>
                          <w:ilvl w:val="0"/>
                          <w:numId w:val="13"/>
                        </w:numPr>
                        <w:spacing w:before="0" w:beforeAutospacing="0" w:after="0" w:afterAutospacing="0"/>
                        <w:rPr>
                          <w:rFonts w:ascii="Times" w:hAnsi="Times" w:cs="Times"/>
                          <w:sz w:val="20"/>
                          <w:szCs w:val="20"/>
                        </w:rPr>
                      </w:pPr>
                      <w:r w:rsidRPr="003D50E3">
                        <w:rPr>
                          <w:rFonts w:ascii="Times" w:hAnsi="Times" w:cs="Times"/>
                          <w:sz w:val="20"/>
                          <w:szCs w:val="20"/>
                        </w:rPr>
                        <w:t>For the candidate value set of SSB to CG PUSCH mapping ratio, support at least {1, 2, 4, 8, 16}</w:t>
                      </w:r>
                    </w:p>
                    <w:p w14:paraId="7428FFD7" w14:textId="7EB068D8" w:rsidR="003D50E3" w:rsidRPr="003D50E3" w:rsidRDefault="003D50E3" w:rsidP="00A376B8">
                      <w:pPr>
                        <w:pStyle w:val="NormalWeb"/>
                        <w:numPr>
                          <w:ilvl w:val="1"/>
                          <w:numId w:val="14"/>
                        </w:numPr>
                        <w:spacing w:before="0" w:beforeAutospacing="0" w:after="0" w:afterAutospacing="0"/>
                        <w:rPr>
                          <w:rFonts w:ascii="Times" w:hAnsi="Times" w:cs="Times"/>
                          <w:sz w:val="20"/>
                          <w:szCs w:val="20"/>
                        </w:rPr>
                      </w:pPr>
                      <w:r w:rsidRPr="003D50E3">
                        <w:rPr>
                          <w:rFonts w:ascii="Times" w:hAnsi="Times" w:cs="Times"/>
                          <w:sz w:val="20"/>
                          <w:szCs w:val="20"/>
                        </w:rPr>
                        <w:t>FFS {1/8,1/4,1/2}</w:t>
                      </w:r>
                    </w:p>
                    <w:p w14:paraId="63EBD071"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68A86A45" w14:textId="77777777" w:rsidR="003D50E3" w:rsidRPr="003D50E3" w:rsidRDefault="003D50E3" w:rsidP="00A376B8">
                      <w:pPr>
                        <w:pStyle w:val="NormalWeb"/>
                        <w:numPr>
                          <w:ilvl w:val="0"/>
                          <w:numId w:val="13"/>
                        </w:numPr>
                        <w:spacing w:before="0" w:beforeAutospacing="0" w:after="0" w:afterAutospacing="0"/>
                        <w:rPr>
                          <w:rFonts w:ascii="Times" w:hAnsi="Times" w:cs="Times"/>
                          <w:sz w:val="20"/>
                          <w:szCs w:val="20"/>
                        </w:rPr>
                      </w:pPr>
                      <w:r w:rsidRPr="003D50E3">
                        <w:rPr>
                          <w:rFonts w:ascii="Times" w:hAnsi="Times" w:cs="Times"/>
                          <w:sz w:val="20"/>
                          <w:szCs w:val="20"/>
                        </w:rPr>
                        <w:t>RAN1 confirms the working assumption in RAN2 that UE-specific search space is configured for UEs performing CG-SDT. This does not exclude the configuration of CSS for UEs performing CG-SDT.</w:t>
                      </w:r>
                    </w:p>
                    <w:p w14:paraId="018EA287" w14:textId="0311C4D1" w:rsidR="003D50E3" w:rsidRPr="003D50E3" w:rsidRDefault="003D50E3" w:rsidP="00A376B8">
                      <w:pPr>
                        <w:pStyle w:val="NormalWeb"/>
                        <w:numPr>
                          <w:ilvl w:val="0"/>
                          <w:numId w:val="13"/>
                        </w:numPr>
                        <w:spacing w:before="0" w:beforeAutospacing="0" w:after="0" w:afterAutospacing="0"/>
                        <w:rPr>
                          <w:rFonts w:ascii="Times" w:hAnsi="Times" w:cs="Times"/>
                          <w:sz w:val="20"/>
                          <w:szCs w:val="20"/>
                        </w:rPr>
                      </w:pPr>
                      <w:r w:rsidRPr="003D50E3">
                        <w:rPr>
                          <w:rFonts w:ascii="Times" w:hAnsi="Times" w:cs="Times"/>
                          <w:sz w:val="20"/>
                          <w:szCs w:val="20"/>
                        </w:rPr>
                        <w:t>CORESET for UE performing RA-SDT should be a common CORESET.</w:t>
                      </w:r>
                    </w:p>
                    <w:p w14:paraId="57FDC718" w14:textId="77777777" w:rsidR="003D50E3" w:rsidRPr="003D50E3" w:rsidRDefault="003D50E3" w:rsidP="003D50E3">
                      <w:pPr>
                        <w:pStyle w:val="NormalWeb"/>
                        <w:spacing w:before="120" w:beforeAutospacing="0" w:after="0" w:afterAutospacing="0"/>
                        <w:rPr>
                          <w:rFonts w:ascii="Times" w:eastAsia="Malgun Gothic" w:hAnsi="Times" w:cs="Times"/>
                          <w:sz w:val="20"/>
                          <w:szCs w:val="20"/>
                          <w:lang w:eastAsia="ko-KR"/>
                        </w:rPr>
                      </w:pPr>
                      <w:r w:rsidRPr="003D50E3">
                        <w:rPr>
                          <w:rStyle w:val="Emphasis"/>
                          <w:rFonts w:ascii="Times" w:hAnsi="Times" w:cs="Times"/>
                          <w:b/>
                          <w:bCs/>
                          <w:i w:val="0"/>
                          <w:sz w:val="20"/>
                          <w:szCs w:val="20"/>
                          <w:highlight w:val="green"/>
                        </w:rPr>
                        <w:t>Agreement</w:t>
                      </w:r>
                    </w:p>
                    <w:p w14:paraId="3DCBCA72" w14:textId="77777777" w:rsidR="003D50E3" w:rsidRPr="003D50E3" w:rsidRDefault="003D50E3" w:rsidP="003D50E3">
                      <w:pPr>
                        <w:pStyle w:val="ListParagraph"/>
                        <w:ind w:left="0"/>
                        <w:jc w:val="both"/>
                        <w:rPr>
                          <w:rFonts w:cs="Times"/>
                          <w:sz w:val="20"/>
                          <w:szCs w:val="20"/>
                          <w:lang w:eastAsia="zh-CN"/>
                        </w:rPr>
                      </w:pPr>
                      <w:r w:rsidRPr="003D50E3">
                        <w:rPr>
                          <w:rFonts w:cs="Times"/>
                          <w:sz w:val="20"/>
                          <w:szCs w:val="20"/>
                          <w:lang w:eastAsia="zh-CN"/>
                        </w:rPr>
                        <w:t>A CG PUSCH occasion is not valid if it overlaps with any valid PRACH occasion.</w:t>
                      </w:r>
                    </w:p>
                    <w:p w14:paraId="3CE0D56C" w14:textId="631A721A" w:rsidR="00D45271" w:rsidRPr="003D50E3" w:rsidRDefault="003D50E3" w:rsidP="00A376B8">
                      <w:pPr>
                        <w:pStyle w:val="NormalWeb"/>
                        <w:numPr>
                          <w:ilvl w:val="0"/>
                          <w:numId w:val="13"/>
                        </w:numPr>
                        <w:spacing w:before="0" w:beforeAutospacing="0" w:after="0" w:afterAutospacing="0"/>
                        <w:rPr>
                          <w:rFonts w:ascii="Times" w:hAnsi="Times" w:cs="Times"/>
                          <w:sz w:val="20"/>
                          <w:szCs w:val="20"/>
                        </w:rPr>
                      </w:pPr>
                      <w:r w:rsidRPr="003D50E3">
                        <w:rPr>
                          <w:rFonts w:ascii="Times" w:hAnsi="Times" w:cs="Times"/>
                          <w:sz w:val="20"/>
                          <w:szCs w:val="20"/>
                        </w:rPr>
                        <w:t>FFS overlapping between CG PUSCH occasions and MsgA PUSCH occasion</w:t>
                      </w:r>
                    </w:p>
                  </w:txbxContent>
                </v:textbox>
                <w10:anchorlock/>
              </v:shape>
            </w:pict>
          </mc:Fallback>
        </mc:AlternateContent>
      </w:r>
    </w:p>
    <w:p w14:paraId="3CEC54E1" w14:textId="5DAA5D04" w:rsidR="00D12A6C" w:rsidRDefault="00D12A6C" w:rsidP="0039135A">
      <w:pPr>
        <w:rPr>
          <w:rFonts w:eastAsia="MS Mincho"/>
          <w:sz w:val="20"/>
          <w:szCs w:val="20"/>
          <w:lang w:val="en-US" w:eastAsia="ja-JP"/>
        </w:rPr>
      </w:pPr>
    </w:p>
    <w:p w14:paraId="560B9657" w14:textId="78A749C8" w:rsidR="0039135A" w:rsidRDefault="0025389B" w:rsidP="00211DF4">
      <w:pPr>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discuss</w:t>
      </w:r>
      <w:r w:rsidR="006938F8">
        <w:rPr>
          <w:rFonts w:eastAsia="MS Mincho"/>
          <w:sz w:val="20"/>
          <w:szCs w:val="20"/>
          <w:lang w:val="en-US" w:eastAsia="ja-JP"/>
        </w:rPr>
        <w:t xml:space="preserve"> the SDT remaining issues from </w:t>
      </w:r>
      <w:r w:rsidR="0039135A">
        <w:rPr>
          <w:rFonts w:eastAsia="MS Mincho"/>
          <w:sz w:val="20"/>
          <w:szCs w:val="20"/>
          <w:lang w:val="en-US" w:eastAsia="ja-JP"/>
        </w:rPr>
        <w:t>the physical layer</w:t>
      </w:r>
      <w:r w:rsidR="006938F8">
        <w:rPr>
          <w:rFonts w:eastAsia="MS Mincho"/>
          <w:sz w:val="20"/>
          <w:szCs w:val="20"/>
          <w:lang w:val="en-US" w:eastAsia="ja-JP"/>
        </w:rPr>
        <w:t xml:space="preserve"> </w:t>
      </w:r>
      <w:r w:rsidR="00D51E0C">
        <w:rPr>
          <w:rFonts w:eastAsia="MS Mincho"/>
          <w:sz w:val="20"/>
          <w:szCs w:val="20"/>
          <w:lang w:val="en-US" w:eastAsia="ja-JP"/>
        </w:rPr>
        <w:t>perspective</w:t>
      </w:r>
      <w:r w:rsidR="0039135A">
        <w:rPr>
          <w:rFonts w:eastAsia="MS Mincho"/>
          <w:sz w:val="20"/>
          <w:szCs w:val="20"/>
          <w:lang w:val="en-US" w:eastAsia="ja-JP"/>
        </w:rPr>
        <w:t>.</w:t>
      </w:r>
    </w:p>
    <w:p w14:paraId="57F74D79" w14:textId="100F5340" w:rsidR="002A3F84" w:rsidRPr="00BF3ED6" w:rsidRDefault="0033104D" w:rsidP="00BF3ED6">
      <w:pPr>
        <w:pStyle w:val="Heading1"/>
        <w:rPr>
          <w:bCs/>
        </w:rPr>
      </w:pPr>
      <w:r>
        <w:rPr>
          <w:rFonts w:cs="Arial"/>
          <w:bCs/>
          <w:lang w:val="en-US" w:eastAsia="zh-CN"/>
        </w:rPr>
        <w:lastRenderedPageBreak/>
        <w:t xml:space="preserve">Discussion </w:t>
      </w:r>
    </w:p>
    <w:p w14:paraId="6B479997" w14:textId="77777777" w:rsidR="00F44F49" w:rsidRDefault="0012782A" w:rsidP="00733A31">
      <w:pPr>
        <w:spacing w:before="120" w:after="120"/>
        <w:rPr>
          <w:color w:val="000000"/>
          <w:sz w:val="20"/>
          <w:szCs w:val="20"/>
          <w:lang w:val="en-US"/>
        </w:rPr>
      </w:pPr>
      <w:r>
        <w:rPr>
          <w:color w:val="000000"/>
          <w:sz w:val="20"/>
          <w:szCs w:val="20"/>
          <w:lang w:val="en-US"/>
        </w:rPr>
        <w:t xml:space="preserve">For CG-SDT, it was agreed in RAN1#106-e meeting that mapping ratio </w:t>
      </w:r>
      <w:r w:rsidR="00C3633F">
        <w:rPr>
          <w:color w:val="000000"/>
          <w:sz w:val="20"/>
          <w:szCs w:val="20"/>
          <w:lang w:val="en-US"/>
        </w:rPr>
        <w:t xml:space="preserve">N </w:t>
      </w:r>
      <w:r>
        <w:rPr>
          <w:color w:val="000000"/>
          <w:sz w:val="20"/>
          <w:szCs w:val="20"/>
          <w:lang w:val="en-US"/>
        </w:rPr>
        <w:t xml:space="preserve">between SSB and CG-SDT PUSCH resource is explicit </w:t>
      </w:r>
      <w:r w:rsidR="004319CA">
        <w:rPr>
          <w:color w:val="000000"/>
          <w:sz w:val="20"/>
          <w:szCs w:val="20"/>
          <w:lang w:val="en-US"/>
        </w:rPr>
        <w:t>signaled</w:t>
      </w:r>
      <w:r>
        <w:rPr>
          <w:color w:val="000000"/>
          <w:sz w:val="20"/>
          <w:szCs w:val="20"/>
          <w:lang w:val="en-US"/>
        </w:rPr>
        <w:t>.</w:t>
      </w:r>
      <w:r w:rsidR="005E2E1C">
        <w:rPr>
          <w:color w:val="000000"/>
          <w:sz w:val="20"/>
          <w:szCs w:val="20"/>
          <w:lang w:val="en-US"/>
        </w:rPr>
        <w:t xml:space="preserve"> </w:t>
      </w:r>
      <w:r w:rsidR="00211DF4">
        <w:rPr>
          <w:color w:val="000000"/>
          <w:sz w:val="20"/>
          <w:szCs w:val="20"/>
          <w:lang w:val="en-US"/>
        </w:rPr>
        <w:t>For</w:t>
      </w:r>
      <w:r w:rsidR="00C3633F">
        <w:rPr>
          <w:color w:val="000000"/>
          <w:sz w:val="20"/>
          <w:szCs w:val="20"/>
          <w:lang w:val="en-US"/>
        </w:rPr>
        <w:t xml:space="preserve"> the candidate mapping ratio N, if N&gt;1, multiple SSBs are associated with one valid PUSCH resource</w:t>
      </w:r>
      <w:r w:rsidR="00C91262">
        <w:rPr>
          <w:color w:val="000000"/>
          <w:sz w:val="20"/>
          <w:szCs w:val="20"/>
          <w:lang w:val="en-US"/>
        </w:rPr>
        <w:t>, the following values can be considered {1, 2, 4, 8</w:t>
      </w:r>
      <w:r w:rsidR="006338CE">
        <w:rPr>
          <w:color w:val="000000"/>
          <w:sz w:val="20"/>
          <w:szCs w:val="20"/>
          <w:lang w:val="en-US"/>
        </w:rPr>
        <w:t>, 16</w:t>
      </w:r>
      <w:r w:rsidR="00C91262">
        <w:rPr>
          <w:color w:val="000000"/>
          <w:sz w:val="20"/>
          <w:szCs w:val="20"/>
          <w:lang w:val="en-US"/>
        </w:rPr>
        <w:t>}</w:t>
      </w:r>
      <w:r w:rsidR="00C3633F">
        <w:rPr>
          <w:color w:val="000000"/>
          <w:sz w:val="20"/>
          <w:szCs w:val="20"/>
          <w:lang w:val="en-US"/>
        </w:rPr>
        <w:t xml:space="preserve">; If N&lt;1, one SSB is associated with multiple valid PUSCH resources. </w:t>
      </w:r>
      <w:r w:rsidR="006338CE">
        <w:rPr>
          <w:color w:val="000000"/>
          <w:sz w:val="20"/>
          <w:szCs w:val="20"/>
          <w:lang w:val="en-US"/>
        </w:rPr>
        <w:t>According to RAN2 agreements “</w:t>
      </w:r>
      <w:r w:rsidR="006338CE" w:rsidRPr="006338CE">
        <w:rPr>
          <w:i/>
          <w:iCs/>
          <w:sz w:val="20"/>
          <w:szCs w:val="20"/>
        </w:rPr>
        <w:t>The configuration of configured grant resource for UE uplink small data transfer is contained in the RRCRelease message.  Configuration is only type 1 CG with no contention resolution procedure for CG</w:t>
      </w:r>
      <w:r w:rsidR="006338CE">
        <w:rPr>
          <w:color w:val="000000"/>
          <w:sz w:val="20"/>
          <w:szCs w:val="20"/>
          <w:lang w:val="en-US"/>
        </w:rPr>
        <w:t>”. Which means</w:t>
      </w:r>
      <w:r w:rsidR="00C3633F">
        <w:rPr>
          <w:color w:val="000000"/>
          <w:sz w:val="20"/>
          <w:szCs w:val="20"/>
          <w:lang w:val="en-US"/>
        </w:rPr>
        <w:t xml:space="preserve"> the configured grant is per UE configured, and the reserved PUSCH resources are only for specific </w:t>
      </w:r>
      <w:r w:rsidR="00FA28E2">
        <w:rPr>
          <w:color w:val="000000"/>
          <w:sz w:val="20"/>
          <w:szCs w:val="20"/>
          <w:lang w:val="en-US"/>
        </w:rPr>
        <w:t>user and</w:t>
      </w:r>
      <w:r w:rsidR="00C3633F">
        <w:rPr>
          <w:color w:val="000000"/>
          <w:sz w:val="20"/>
          <w:szCs w:val="20"/>
          <w:lang w:val="en-US"/>
        </w:rPr>
        <w:t xml:space="preserve"> will not share with other </w:t>
      </w:r>
      <w:r w:rsidR="00211DF4">
        <w:rPr>
          <w:color w:val="000000"/>
          <w:sz w:val="20"/>
          <w:szCs w:val="20"/>
          <w:lang w:val="en-US"/>
        </w:rPr>
        <w:t>UEs</w:t>
      </w:r>
      <w:r w:rsidR="00C3633F">
        <w:rPr>
          <w:color w:val="000000"/>
          <w:sz w:val="20"/>
          <w:szCs w:val="20"/>
          <w:lang w:val="en-US"/>
        </w:rPr>
        <w:t>. Anyway</w:t>
      </w:r>
      <w:r w:rsidR="00C91262">
        <w:rPr>
          <w:color w:val="000000"/>
          <w:sz w:val="20"/>
          <w:szCs w:val="20"/>
          <w:lang w:val="en-US"/>
        </w:rPr>
        <w:t>,</w:t>
      </w:r>
      <w:r w:rsidR="00C3633F">
        <w:rPr>
          <w:color w:val="000000"/>
          <w:sz w:val="20"/>
          <w:szCs w:val="20"/>
          <w:lang w:val="en-US"/>
        </w:rPr>
        <w:t xml:space="preserve"> UE will select </w:t>
      </w:r>
      <w:r w:rsidR="00C91262">
        <w:rPr>
          <w:color w:val="000000"/>
          <w:sz w:val="20"/>
          <w:szCs w:val="20"/>
          <w:lang w:val="en-US"/>
        </w:rPr>
        <w:t xml:space="preserve">only </w:t>
      </w:r>
      <w:r w:rsidR="00C3633F">
        <w:rPr>
          <w:color w:val="000000"/>
          <w:sz w:val="20"/>
          <w:szCs w:val="20"/>
          <w:lang w:val="en-US"/>
        </w:rPr>
        <w:t>one DMRS resource from the valid PUSCH resource</w:t>
      </w:r>
      <w:r w:rsidR="00FA28E2">
        <w:rPr>
          <w:color w:val="000000"/>
          <w:sz w:val="20"/>
          <w:szCs w:val="20"/>
          <w:lang w:val="en-US"/>
        </w:rPr>
        <w:t xml:space="preserve"> for data transmission</w:t>
      </w:r>
      <w:r w:rsidR="00C91262">
        <w:rPr>
          <w:color w:val="000000"/>
          <w:sz w:val="20"/>
          <w:szCs w:val="20"/>
          <w:lang w:val="en-US"/>
        </w:rPr>
        <w:t>, other left DMRS resource</w:t>
      </w:r>
      <w:r w:rsidR="00684E02">
        <w:rPr>
          <w:color w:val="000000"/>
          <w:sz w:val="20"/>
          <w:szCs w:val="20"/>
          <w:lang w:val="en-US"/>
        </w:rPr>
        <w:t>s</w:t>
      </w:r>
      <w:r w:rsidR="00C91262">
        <w:rPr>
          <w:color w:val="000000"/>
          <w:sz w:val="20"/>
          <w:szCs w:val="20"/>
          <w:lang w:val="en-US"/>
        </w:rPr>
        <w:t xml:space="preserve"> associated with this SSB will be wasted.</w:t>
      </w:r>
      <w:r w:rsidR="00FA28E2">
        <w:rPr>
          <w:color w:val="000000"/>
          <w:sz w:val="20"/>
          <w:szCs w:val="20"/>
          <w:lang w:val="en-US"/>
        </w:rPr>
        <w:t xml:space="preserve"> Thus, N&lt;1 case </w:t>
      </w:r>
      <w:r w:rsidR="00C91262">
        <w:rPr>
          <w:color w:val="000000"/>
          <w:sz w:val="20"/>
          <w:szCs w:val="20"/>
          <w:lang w:val="en-US"/>
        </w:rPr>
        <w:t xml:space="preserve">should not be supported. </w:t>
      </w:r>
    </w:p>
    <w:p w14:paraId="0701F013" w14:textId="47D6A776" w:rsidR="00AE3EFC" w:rsidRPr="003D50E3" w:rsidRDefault="007C7E6E" w:rsidP="00AE3EFC">
      <w:pPr>
        <w:spacing w:before="120" w:after="120"/>
        <w:rPr>
          <w:b/>
          <w:bCs/>
          <w:color w:val="000000"/>
          <w:sz w:val="20"/>
          <w:szCs w:val="20"/>
          <w:lang w:val="en-US"/>
        </w:rPr>
      </w:pPr>
      <w:r w:rsidRPr="00441657">
        <w:rPr>
          <w:b/>
          <w:bCs/>
          <w:color w:val="000000"/>
          <w:sz w:val="20"/>
          <w:szCs w:val="20"/>
          <w:lang w:val="en-US"/>
        </w:rPr>
        <w:t xml:space="preserve">Proposal </w:t>
      </w:r>
      <w:r>
        <w:rPr>
          <w:b/>
          <w:bCs/>
          <w:color w:val="000000"/>
          <w:sz w:val="20"/>
          <w:szCs w:val="20"/>
          <w:lang w:val="en-US"/>
        </w:rPr>
        <w:t>1</w:t>
      </w:r>
      <w:r w:rsidRPr="00441657">
        <w:rPr>
          <w:b/>
          <w:bCs/>
          <w:color w:val="000000"/>
          <w:sz w:val="20"/>
          <w:szCs w:val="20"/>
          <w:lang w:val="en-US"/>
        </w:rPr>
        <w:t xml:space="preserve">: </w:t>
      </w:r>
      <w:r>
        <w:rPr>
          <w:b/>
          <w:bCs/>
          <w:color w:val="000000"/>
          <w:sz w:val="20"/>
          <w:szCs w:val="20"/>
          <w:lang w:val="en-US"/>
        </w:rPr>
        <w:t xml:space="preserve"> </w:t>
      </w:r>
      <w:r w:rsidR="00AE3EFC" w:rsidRPr="003D50E3">
        <w:rPr>
          <w:b/>
          <w:bCs/>
          <w:color w:val="000000"/>
          <w:sz w:val="20"/>
          <w:szCs w:val="20"/>
          <w:lang w:val="en-US"/>
        </w:rPr>
        <w:t>One SSB mapping to multiple CG PUSCH resources is not supported</w:t>
      </w:r>
      <w:r w:rsidR="00D65FF4">
        <w:rPr>
          <w:b/>
          <w:bCs/>
          <w:color w:val="000000"/>
          <w:sz w:val="20"/>
          <w:szCs w:val="20"/>
          <w:lang w:val="en-US"/>
        </w:rPr>
        <w:t>.</w:t>
      </w:r>
    </w:p>
    <w:p w14:paraId="47C22F61" w14:textId="510AEE3B" w:rsidR="00E63031" w:rsidRDefault="00E63031" w:rsidP="00AE3EFC">
      <w:pPr>
        <w:spacing w:before="120" w:after="120"/>
        <w:rPr>
          <w:rFonts w:ascii="Times" w:hAnsi="Times" w:cs="Times"/>
          <w:sz w:val="20"/>
          <w:szCs w:val="20"/>
          <w:lang w:val="en-US"/>
        </w:rPr>
      </w:pPr>
      <w:r>
        <w:rPr>
          <w:bCs/>
          <w:sz w:val="20"/>
          <w:szCs w:val="20"/>
          <w:lang w:val="en-US"/>
        </w:rPr>
        <w:t xml:space="preserve">For </w:t>
      </w:r>
      <w:r w:rsidRPr="003D50E3">
        <w:rPr>
          <w:rFonts w:ascii="Times" w:hAnsi="Times" w:cs="Times"/>
          <w:sz w:val="20"/>
          <w:szCs w:val="20"/>
        </w:rPr>
        <w:t>overlapping between CG PUSCH occasions and MsgA PUSCH occasion</w:t>
      </w:r>
      <w:r>
        <w:rPr>
          <w:rFonts w:ascii="Times" w:hAnsi="Times" w:cs="Times"/>
          <w:sz w:val="20"/>
          <w:szCs w:val="20"/>
          <w:lang w:val="en-US"/>
        </w:rPr>
        <w:t>, three options were discussed in the last RAN1 meeting.</w:t>
      </w:r>
    </w:p>
    <w:p w14:paraId="2969D58D" w14:textId="4FB59779" w:rsidR="00E63031" w:rsidRPr="00E63031" w:rsidRDefault="00E63031" w:rsidP="00E63031">
      <w:pPr>
        <w:spacing w:before="120" w:after="120"/>
        <w:rPr>
          <w:sz w:val="20"/>
          <w:szCs w:val="20"/>
        </w:rPr>
      </w:pPr>
      <w:r w:rsidRPr="00E63031">
        <w:rPr>
          <w:rFonts w:hint="eastAsia"/>
          <w:sz w:val="20"/>
          <w:szCs w:val="20"/>
        </w:rPr>
        <w:t xml:space="preserve">Alt 1) </w:t>
      </w:r>
      <w:r w:rsidRPr="00E63031">
        <w:rPr>
          <w:sz w:val="20"/>
          <w:szCs w:val="20"/>
        </w:rPr>
        <w:t>UE is not expected to be configured with a CG PUSCH occasion which overlaps with valid msgA PUSCH occasion</w:t>
      </w:r>
      <w:r w:rsidRPr="00E63031">
        <w:rPr>
          <w:rFonts w:hint="eastAsia"/>
          <w:sz w:val="20"/>
          <w:szCs w:val="20"/>
        </w:rPr>
        <w:t xml:space="preserve">. </w:t>
      </w:r>
    </w:p>
    <w:p w14:paraId="5C325983" w14:textId="0480DA52" w:rsidR="00E63031" w:rsidRPr="00E63031" w:rsidRDefault="00E63031" w:rsidP="00E63031">
      <w:pPr>
        <w:spacing w:before="120" w:after="120"/>
        <w:rPr>
          <w:sz w:val="20"/>
          <w:szCs w:val="20"/>
        </w:rPr>
      </w:pPr>
      <w:r w:rsidRPr="00E63031">
        <w:rPr>
          <w:rFonts w:hint="eastAsia"/>
          <w:sz w:val="20"/>
          <w:szCs w:val="20"/>
        </w:rPr>
        <w:t>Alt 2) A</w:t>
      </w:r>
      <w:r w:rsidRPr="00E63031">
        <w:rPr>
          <w:sz w:val="20"/>
          <w:szCs w:val="20"/>
        </w:rPr>
        <w:t xml:space="preserve"> CG PUSCH occasion is not valid if it overlaps with any </w:t>
      </w:r>
      <w:r w:rsidRPr="00E63031">
        <w:rPr>
          <w:rFonts w:hint="eastAsia"/>
          <w:sz w:val="20"/>
          <w:szCs w:val="20"/>
        </w:rPr>
        <w:t>valid MsgA PUSCH occasion.</w:t>
      </w:r>
    </w:p>
    <w:p w14:paraId="41EC9527" w14:textId="5E443BB4" w:rsidR="00E63031" w:rsidRPr="00E63031" w:rsidRDefault="00E63031" w:rsidP="00E63031">
      <w:pPr>
        <w:spacing w:before="120" w:after="120"/>
        <w:rPr>
          <w:sz w:val="20"/>
          <w:szCs w:val="20"/>
        </w:rPr>
      </w:pPr>
      <w:r w:rsidRPr="00E63031">
        <w:rPr>
          <w:rFonts w:hint="eastAsia"/>
          <w:sz w:val="20"/>
          <w:szCs w:val="20"/>
        </w:rPr>
        <w:t xml:space="preserve">Alt 3) </w:t>
      </w:r>
      <w:r w:rsidRPr="00E63031">
        <w:rPr>
          <w:sz w:val="20"/>
          <w:szCs w:val="20"/>
        </w:rPr>
        <w:t>It is up to UE implementation to handle the overlapping between CG-PUSCH occasions for CG-SDT and any valid MsgA PUSCH occasion.</w:t>
      </w:r>
      <w:r w:rsidRPr="00E63031">
        <w:rPr>
          <w:rFonts w:hint="eastAsia"/>
          <w:sz w:val="20"/>
          <w:szCs w:val="20"/>
        </w:rPr>
        <w:t xml:space="preserve"> </w:t>
      </w:r>
    </w:p>
    <w:p w14:paraId="1C0B96DA" w14:textId="48694A91" w:rsidR="00E63031" w:rsidRPr="00E63031" w:rsidRDefault="00E63031" w:rsidP="00AE3EFC">
      <w:pPr>
        <w:spacing w:before="120" w:after="120"/>
        <w:rPr>
          <w:bCs/>
          <w:sz w:val="20"/>
          <w:szCs w:val="20"/>
          <w:lang w:val="en-US"/>
        </w:rPr>
      </w:pPr>
      <w:r>
        <w:rPr>
          <w:bCs/>
          <w:sz w:val="20"/>
          <w:szCs w:val="20"/>
          <w:lang w:val="en-US"/>
        </w:rPr>
        <w:t xml:space="preserve">Basically, the </w:t>
      </w:r>
      <w:r w:rsidR="005C2710">
        <w:rPr>
          <w:bCs/>
          <w:sz w:val="20"/>
          <w:szCs w:val="20"/>
          <w:lang w:val="en-US"/>
        </w:rPr>
        <w:t>three Alternatives</w:t>
      </w:r>
      <w:r>
        <w:rPr>
          <w:bCs/>
          <w:sz w:val="20"/>
          <w:szCs w:val="20"/>
          <w:lang w:val="en-US"/>
        </w:rPr>
        <w:t xml:space="preserve"> are only applied to UE supporting both SDT and 2-step RACH. If UE </w:t>
      </w:r>
      <w:r w:rsidR="005C2710">
        <w:rPr>
          <w:bCs/>
          <w:sz w:val="20"/>
          <w:szCs w:val="20"/>
          <w:lang w:val="en-US"/>
        </w:rPr>
        <w:t xml:space="preserve">only supports SDT without capability of 2-step RACH, this UE </w:t>
      </w:r>
      <w:r w:rsidR="00007D99">
        <w:rPr>
          <w:bCs/>
          <w:sz w:val="20"/>
          <w:szCs w:val="20"/>
          <w:lang w:val="en-US"/>
        </w:rPr>
        <w:t>c</w:t>
      </w:r>
      <w:r w:rsidR="005C2710">
        <w:rPr>
          <w:bCs/>
          <w:sz w:val="20"/>
          <w:szCs w:val="20"/>
          <w:lang w:val="en-US"/>
        </w:rPr>
        <w:t xml:space="preserve">ould not aware the </w:t>
      </w:r>
      <w:proofErr w:type="spellStart"/>
      <w:r w:rsidR="005C2710">
        <w:rPr>
          <w:bCs/>
          <w:sz w:val="20"/>
          <w:szCs w:val="20"/>
          <w:lang w:val="en-US"/>
        </w:rPr>
        <w:t>MsgA</w:t>
      </w:r>
      <w:proofErr w:type="spellEnd"/>
      <w:r w:rsidR="005C2710">
        <w:rPr>
          <w:bCs/>
          <w:sz w:val="20"/>
          <w:szCs w:val="20"/>
          <w:lang w:val="en-US"/>
        </w:rPr>
        <w:t xml:space="preserve"> PUSCH occasion</w:t>
      </w:r>
      <w:r w:rsidR="00007D99">
        <w:rPr>
          <w:bCs/>
          <w:sz w:val="20"/>
          <w:szCs w:val="20"/>
          <w:lang w:val="en-US"/>
        </w:rPr>
        <w:t>,</w:t>
      </w:r>
      <w:r w:rsidR="005C2710">
        <w:rPr>
          <w:bCs/>
          <w:sz w:val="20"/>
          <w:szCs w:val="20"/>
          <w:lang w:val="en-US"/>
        </w:rPr>
        <w:t xml:space="preserve"> </w:t>
      </w:r>
      <w:r w:rsidR="00007D99">
        <w:rPr>
          <w:bCs/>
          <w:sz w:val="20"/>
          <w:szCs w:val="20"/>
          <w:lang w:val="en-US"/>
        </w:rPr>
        <w:t xml:space="preserve">it </w:t>
      </w:r>
      <w:r w:rsidR="005E1E49">
        <w:rPr>
          <w:bCs/>
          <w:sz w:val="20"/>
          <w:szCs w:val="20"/>
          <w:lang w:val="en-US"/>
        </w:rPr>
        <w:t>will</w:t>
      </w:r>
      <w:r w:rsidR="00007D99">
        <w:rPr>
          <w:bCs/>
          <w:sz w:val="20"/>
          <w:szCs w:val="20"/>
          <w:lang w:val="en-US"/>
        </w:rPr>
        <w:t xml:space="preserve"> assume the CG PUSCH occasion is valid after checking the valid PRACH occasion. </w:t>
      </w:r>
      <w:r w:rsidR="003A3022">
        <w:rPr>
          <w:bCs/>
          <w:sz w:val="20"/>
          <w:szCs w:val="20"/>
          <w:lang w:val="en-US"/>
        </w:rPr>
        <w:t>So,</w:t>
      </w:r>
      <w:r w:rsidR="005E1E49">
        <w:rPr>
          <w:bCs/>
          <w:sz w:val="20"/>
          <w:szCs w:val="20"/>
          <w:lang w:val="en-US"/>
        </w:rPr>
        <w:t xml:space="preserve"> </w:t>
      </w:r>
      <w:r w:rsidR="00AB1C0F">
        <w:rPr>
          <w:bCs/>
          <w:sz w:val="20"/>
          <w:szCs w:val="20"/>
          <w:lang w:val="en-US"/>
        </w:rPr>
        <w:t xml:space="preserve">resources collision should be avoided by </w:t>
      </w:r>
      <w:proofErr w:type="spellStart"/>
      <w:r w:rsidR="005C2710">
        <w:rPr>
          <w:bCs/>
          <w:sz w:val="20"/>
          <w:szCs w:val="20"/>
          <w:lang w:val="en-US"/>
        </w:rPr>
        <w:t>gNB</w:t>
      </w:r>
      <w:proofErr w:type="spellEnd"/>
      <w:r w:rsidR="005C2710">
        <w:rPr>
          <w:bCs/>
          <w:sz w:val="20"/>
          <w:szCs w:val="20"/>
          <w:lang w:val="en-US"/>
        </w:rPr>
        <w:t xml:space="preserve"> implementatio</w:t>
      </w:r>
      <w:r w:rsidR="00AB1C0F">
        <w:rPr>
          <w:bCs/>
          <w:sz w:val="20"/>
          <w:szCs w:val="20"/>
          <w:lang w:val="en-US"/>
        </w:rPr>
        <w:t>n</w:t>
      </w:r>
      <w:r w:rsidR="005C2710">
        <w:rPr>
          <w:bCs/>
          <w:sz w:val="20"/>
          <w:szCs w:val="20"/>
          <w:lang w:val="en-US"/>
        </w:rPr>
        <w:t>.</w:t>
      </w:r>
    </w:p>
    <w:p w14:paraId="45F57E73" w14:textId="74A0AB71" w:rsidR="00F36F8A" w:rsidRPr="00E63031" w:rsidRDefault="001132A0" w:rsidP="00E63031">
      <w:pPr>
        <w:spacing w:before="120" w:after="120"/>
        <w:rPr>
          <w:b/>
          <w:bCs/>
          <w:color w:val="000000"/>
          <w:sz w:val="20"/>
          <w:szCs w:val="20"/>
          <w:lang w:val="en-US"/>
        </w:rPr>
      </w:pPr>
      <w:r w:rsidRPr="001132A0">
        <w:rPr>
          <w:b/>
          <w:bCs/>
          <w:color w:val="000000"/>
          <w:sz w:val="20"/>
          <w:szCs w:val="20"/>
          <w:lang w:val="en-US"/>
        </w:rPr>
        <w:t xml:space="preserve">Proposal </w:t>
      </w:r>
      <w:r>
        <w:rPr>
          <w:b/>
          <w:bCs/>
          <w:color w:val="000000"/>
          <w:sz w:val="20"/>
          <w:szCs w:val="20"/>
          <w:lang w:val="en-US"/>
        </w:rPr>
        <w:t>2</w:t>
      </w:r>
      <w:r w:rsidRPr="001132A0">
        <w:rPr>
          <w:b/>
          <w:bCs/>
          <w:color w:val="000000"/>
          <w:sz w:val="20"/>
          <w:szCs w:val="20"/>
          <w:lang w:val="en-US"/>
        </w:rPr>
        <w:t xml:space="preserve">:  </w:t>
      </w:r>
      <w:r w:rsidR="005C2710">
        <w:rPr>
          <w:b/>
          <w:bCs/>
          <w:color w:val="000000"/>
          <w:sz w:val="20"/>
          <w:szCs w:val="20"/>
          <w:lang w:val="en-US"/>
        </w:rPr>
        <w:t xml:space="preserve">No new validation rule is defined for </w:t>
      </w:r>
      <w:r w:rsidR="00AE3EFC" w:rsidRPr="00AE3EFC">
        <w:rPr>
          <w:b/>
          <w:bCs/>
          <w:color w:val="000000"/>
          <w:sz w:val="20"/>
          <w:szCs w:val="20"/>
          <w:lang w:val="en-US"/>
        </w:rPr>
        <w:t>CG PUSCH occasion</w:t>
      </w:r>
      <w:r w:rsidR="005C2710">
        <w:rPr>
          <w:b/>
          <w:bCs/>
          <w:color w:val="000000"/>
          <w:sz w:val="20"/>
          <w:szCs w:val="20"/>
          <w:lang w:val="en-US"/>
        </w:rPr>
        <w:t>.</w:t>
      </w:r>
      <w:r w:rsidR="00AE3EFC" w:rsidRPr="00AE3EFC">
        <w:rPr>
          <w:b/>
          <w:bCs/>
          <w:color w:val="000000"/>
          <w:sz w:val="20"/>
          <w:szCs w:val="20"/>
          <w:lang w:val="en-US"/>
        </w:rPr>
        <w:t xml:space="preserve"> </w:t>
      </w:r>
      <w:r w:rsidR="008A7324">
        <w:rPr>
          <w:b/>
          <w:bCs/>
          <w:color w:val="000000"/>
          <w:sz w:val="20"/>
          <w:szCs w:val="20"/>
          <w:lang w:val="en-US"/>
        </w:rPr>
        <w:t>I</w:t>
      </w:r>
      <w:r w:rsidR="005C2710" w:rsidRPr="005C2710">
        <w:rPr>
          <w:b/>
          <w:bCs/>
          <w:color w:val="000000"/>
          <w:sz w:val="20"/>
          <w:szCs w:val="20"/>
          <w:lang w:val="en-US"/>
        </w:rPr>
        <w:t xml:space="preserve">t’s up to </w:t>
      </w:r>
      <w:proofErr w:type="spellStart"/>
      <w:r w:rsidR="005C2710" w:rsidRPr="005C2710">
        <w:rPr>
          <w:b/>
          <w:bCs/>
          <w:color w:val="000000"/>
          <w:sz w:val="20"/>
          <w:szCs w:val="20"/>
          <w:lang w:val="en-US"/>
        </w:rPr>
        <w:t>gNB</w:t>
      </w:r>
      <w:proofErr w:type="spellEnd"/>
      <w:r w:rsidR="005C2710" w:rsidRPr="005C2710">
        <w:rPr>
          <w:b/>
          <w:bCs/>
          <w:color w:val="000000"/>
          <w:sz w:val="20"/>
          <w:szCs w:val="20"/>
          <w:lang w:val="en-US"/>
        </w:rPr>
        <w:t xml:space="preserve"> implementation to avoid</w:t>
      </w:r>
      <w:r w:rsidR="005C2710">
        <w:rPr>
          <w:b/>
          <w:bCs/>
          <w:color w:val="000000"/>
          <w:sz w:val="20"/>
          <w:szCs w:val="20"/>
          <w:lang w:val="en-US"/>
        </w:rPr>
        <w:t xml:space="preserve"> </w:t>
      </w:r>
      <w:r w:rsidR="001C58BA">
        <w:rPr>
          <w:b/>
          <w:bCs/>
          <w:color w:val="000000"/>
          <w:sz w:val="20"/>
          <w:szCs w:val="20"/>
          <w:lang w:val="en-US"/>
        </w:rPr>
        <w:t xml:space="preserve">the </w:t>
      </w:r>
      <w:r w:rsidR="005C2710" w:rsidRPr="005C2710">
        <w:rPr>
          <w:b/>
          <w:bCs/>
          <w:color w:val="000000"/>
          <w:sz w:val="20"/>
          <w:szCs w:val="20"/>
          <w:lang w:val="en-US"/>
        </w:rPr>
        <w:t>overlap</w:t>
      </w:r>
      <w:r w:rsidR="001C58BA">
        <w:rPr>
          <w:b/>
          <w:bCs/>
          <w:color w:val="000000"/>
          <w:sz w:val="20"/>
          <w:szCs w:val="20"/>
          <w:lang w:val="en-US"/>
        </w:rPr>
        <w:t xml:space="preserve"> </w:t>
      </w:r>
      <w:r w:rsidR="005C2710" w:rsidRPr="005C2710">
        <w:rPr>
          <w:b/>
          <w:bCs/>
          <w:color w:val="000000"/>
          <w:sz w:val="20"/>
          <w:szCs w:val="20"/>
          <w:lang w:val="en-US"/>
        </w:rPr>
        <w:t xml:space="preserve">between CG PUSCH occasion and </w:t>
      </w:r>
      <w:proofErr w:type="spellStart"/>
      <w:r w:rsidR="005C2710" w:rsidRPr="005C2710">
        <w:rPr>
          <w:b/>
          <w:bCs/>
          <w:color w:val="000000"/>
          <w:sz w:val="20"/>
          <w:szCs w:val="20"/>
          <w:lang w:val="en-US"/>
        </w:rPr>
        <w:t>MsgA</w:t>
      </w:r>
      <w:proofErr w:type="spellEnd"/>
      <w:r w:rsidR="005C2710" w:rsidRPr="005C2710">
        <w:rPr>
          <w:b/>
          <w:bCs/>
          <w:color w:val="000000"/>
          <w:sz w:val="20"/>
          <w:szCs w:val="20"/>
          <w:lang w:val="en-US"/>
        </w:rPr>
        <w:t xml:space="preserve"> PUSCH occasion</w:t>
      </w:r>
      <w:r>
        <w:rPr>
          <w:b/>
          <w:bCs/>
          <w:color w:val="000000"/>
          <w:sz w:val="20"/>
          <w:szCs w:val="20"/>
          <w:lang w:val="en-US"/>
        </w:rPr>
        <w:t>.</w:t>
      </w:r>
    </w:p>
    <w:p w14:paraId="1DE6452F" w14:textId="77777777" w:rsidR="00D12367" w:rsidRDefault="00D12367" w:rsidP="00D12367">
      <w:pPr>
        <w:pStyle w:val="Heading1"/>
      </w:pPr>
      <w:r>
        <w:t>Summary</w:t>
      </w:r>
    </w:p>
    <w:p w14:paraId="25F8D0AD" w14:textId="5F10957D"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9E7222">
        <w:rPr>
          <w:rFonts w:eastAsia="MS Mincho"/>
          <w:sz w:val="20"/>
          <w:szCs w:val="20"/>
          <w:lang w:val="en-US" w:eastAsia="ja-JP"/>
        </w:rPr>
        <w:t>small data transmission impacts on physical layer aspects and the issues raised by RAN2</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753EB0B2" w14:textId="77777777" w:rsidR="00D65FF4" w:rsidRPr="003D50E3" w:rsidRDefault="00D65FF4" w:rsidP="00D65FF4">
      <w:pPr>
        <w:spacing w:before="120" w:after="120"/>
        <w:rPr>
          <w:b/>
          <w:bCs/>
          <w:color w:val="000000"/>
          <w:sz w:val="20"/>
          <w:szCs w:val="20"/>
          <w:lang w:val="en-US"/>
        </w:rPr>
      </w:pPr>
      <w:r w:rsidRPr="00441657">
        <w:rPr>
          <w:b/>
          <w:bCs/>
          <w:color w:val="000000"/>
          <w:sz w:val="20"/>
          <w:szCs w:val="20"/>
          <w:lang w:val="en-US"/>
        </w:rPr>
        <w:t xml:space="preserve">Proposal </w:t>
      </w:r>
      <w:r>
        <w:rPr>
          <w:b/>
          <w:bCs/>
          <w:color w:val="000000"/>
          <w:sz w:val="20"/>
          <w:szCs w:val="20"/>
          <w:lang w:val="en-US"/>
        </w:rPr>
        <w:t>1</w:t>
      </w:r>
      <w:r w:rsidRPr="00441657">
        <w:rPr>
          <w:b/>
          <w:bCs/>
          <w:color w:val="000000"/>
          <w:sz w:val="20"/>
          <w:szCs w:val="20"/>
          <w:lang w:val="en-US"/>
        </w:rPr>
        <w:t xml:space="preserve">: </w:t>
      </w:r>
      <w:r>
        <w:rPr>
          <w:b/>
          <w:bCs/>
          <w:color w:val="000000"/>
          <w:sz w:val="20"/>
          <w:szCs w:val="20"/>
          <w:lang w:val="en-US"/>
        </w:rPr>
        <w:t xml:space="preserve"> </w:t>
      </w:r>
      <w:r w:rsidRPr="003D50E3">
        <w:rPr>
          <w:b/>
          <w:bCs/>
          <w:color w:val="000000"/>
          <w:sz w:val="20"/>
          <w:szCs w:val="20"/>
          <w:lang w:val="en-US"/>
        </w:rPr>
        <w:t>One SSB mapping to multiple CG PUSCH resources is not supported</w:t>
      </w:r>
      <w:r>
        <w:rPr>
          <w:b/>
          <w:bCs/>
          <w:color w:val="000000"/>
          <w:sz w:val="20"/>
          <w:szCs w:val="20"/>
          <w:lang w:val="en-US"/>
        </w:rPr>
        <w:t>.</w:t>
      </w:r>
    </w:p>
    <w:p w14:paraId="17F68D1C" w14:textId="5B4FECE6" w:rsidR="00020EA9" w:rsidRPr="00E63031" w:rsidRDefault="00020EA9" w:rsidP="00020EA9">
      <w:pPr>
        <w:spacing w:before="120" w:after="120"/>
        <w:rPr>
          <w:b/>
          <w:bCs/>
          <w:color w:val="000000"/>
          <w:sz w:val="20"/>
          <w:szCs w:val="20"/>
          <w:lang w:val="en-US"/>
        </w:rPr>
      </w:pPr>
      <w:r w:rsidRPr="001132A0">
        <w:rPr>
          <w:b/>
          <w:bCs/>
          <w:color w:val="000000"/>
          <w:sz w:val="20"/>
          <w:szCs w:val="20"/>
          <w:lang w:val="en-US"/>
        </w:rPr>
        <w:t xml:space="preserve">Proposal </w:t>
      </w:r>
      <w:r>
        <w:rPr>
          <w:b/>
          <w:bCs/>
          <w:color w:val="000000"/>
          <w:sz w:val="20"/>
          <w:szCs w:val="20"/>
          <w:lang w:val="en-US"/>
        </w:rPr>
        <w:t>2</w:t>
      </w:r>
      <w:r w:rsidRPr="001132A0">
        <w:rPr>
          <w:b/>
          <w:bCs/>
          <w:color w:val="000000"/>
          <w:sz w:val="20"/>
          <w:szCs w:val="20"/>
          <w:lang w:val="en-US"/>
        </w:rPr>
        <w:t xml:space="preserve">:  </w:t>
      </w:r>
      <w:r>
        <w:rPr>
          <w:b/>
          <w:bCs/>
          <w:color w:val="000000"/>
          <w:sz w:val="20"/>
          <w:szCs w:val="20"/>
          <w:lang w:val="en-US"/>
        </w:rPr>
        <w:t xml:space="preserve">No new validation rule is defined for </w:t>
      </w:r>
      <w:r w:rsidRPr="00AE3EFC">
        <w:rPr>
          <w:b/>
          <w:bCs/>
          <w:color w:val="000000"/>
          <w:sz w:val="20"/>
          <w:szCs w:val="20"/>
          <w:lang w:val="en-US"/>
        </w:rPr>
        <w:t>CG PUSCH occasion</w:t>
      </w:r>
      <w:r>
        <w:rPr>
          <w:b/>
          <w:bCs/>
          <w:color w:val="000000"/>
          <w:sz w:val="20"/>
          <w:szCs w:val="20"/>
          <w:lang w:val="en-US"/>
        </w:rPr>
        <w:t>.</w:t>
      </w:r>
      <w:r w:rsidRPr="00AE3EFC">
        <w:rPr>
          <w:b/>
          <w:bCs/>
          <w:color w:val="000000"/>
          <w:sz w:val="20"/>
          <w:szCs w:val="20"/>
          <w:lang w:val="en-US"/>
        </w:rPr>
        <w:t xml:space="preserve"> </w:t>
      </w:r>
      <w:r>
        <w:rPr>
          <w:b/>
          <w:bCs/>
          <w:color w:val="000000"/>
          <w:sz w:val="20"/>
          <w:szCs w:val="20"/>
          <w:lang w:val="en-US"/>
        </w:rPr>
        <w:t>I</w:t>
      </w:r>
      <w:r w:rsidRPr="005C2710">
        <w:rPr>
          <w:b/>
          <w:bCs/>
          <w:color w:val="000000"/>
          <w:sz w:val="20"/>
          <w:szCs w:val="20"/>
          <w:lang w:val="en-US"/>
        </w:rPr>
        <w:t xml:space="preserve">t’s up to </w:t>
      </w:r>
      <w:proofErr w:type="spellStart"/>
      <w:r w:rsidRPr="005C2710">
        <w:rPr>
          <w:b/>
          <w:bCs/>
          <w:color w:val="000000"/>
          <w:sz w:val="20"/>
          <w:szCs w:val="20"/>
          <w:lang w:val="en-US"/>
        </w:rPr>
        <w:t>gNB</w:t>
      </w:r>
      <w:proofErr w:type="spellEnd"/>
      <w:r w:rsidRPr="005C2710">
        <w:rPr>
          <w:b/>
          <w:bCs/>
          <w:color w:val="000000"/>
          <w:sz w:val="20"/>
          <w:szCs w:val="20"/>
          <w:lang w:val="en-US"/>
        </w:rPr>
        <w:t xml:space="preserve"> implementation to avoid</w:t>
      </w:r>
      <w:r>
        <w:rPr>
          <w:b/>
          <w:bCs/>
          <w:color w:val="000000"/>
          <w:sz w:val="20"/>
          <w:szCs w:val="20"/>
          <w:lang w:val="en-US"/>
        </w:rPr>
        <w:t xml:space="preserve"> </w:t>
      </w:r>
      <w:r w:rsidR="00460C0A">
        <w:rPr>
          <w:b/>
          <w:bCs/>
          <w:color w:val="000000"/>
          <w:sz w:val="20"/>
          <w:szCs w:val="20"/>
          <w:lang w:val="en-US"/>
        </w:rPr>
        <w:t xml:space="preserve">the </w:t>
      </w:r>
      <w:r w:rsidRPr="005C2710">
        <w:rPr>
          <w:b/>
          <w:bCs/>
          <w:color w:val="000000"/>
          <w:sz w:val="20"/>
          <w:szCs w:val="20"/>
          <w:lang w:val="en-US"/>
        </w:rPr>
        <w:t xml:space="preserve">overlap between CG PUSCH occasion and </w:t>
      </w:r>
      <w:proofErr w:type="spellStart"/>
      <w:r w:rsidRPr="005C2710">
        <w:rPr>
          <w:b/>
          <w:bCs/>
          <w:color w:val="000000"/>
          <w:sz w:val="20"/>
          <w:szCs w:val="20"/>
          <w:lang w:val="en-US"/>
        </w:rPr>
        <w:t>MsgA</w:t>
      </w:r>
      <w:proofErr w:type="spellEnd"/>
      <w:r w:rsidRPr="005C2710">
        <w:rPr>
          <w:b/>
          <w:bCs/>
          <w:color w:val="000000"/>
          <w:sz w:val="20"/>
          <w:szCs w:val="20"/>
          <w:lang w:val="en-US"/>
        </w:rPr>
        <w:t xml:space="preserve"> PUSCH occasion</w:t>
      </w:r>
      <w:r>
        <w:rPr>
          <w:b/>
          <w:bCs/>
          <w:color w:val="000000"/>
          <w:sz w:val="20"/>
          <w:szCs w:val="20"/>
          <w:lang w:val="en-US"/>
        </w:rPr>
        <w:t>.</w:t>
      </w:r>
    </w:p>
    <w:p w14:paraId="19C24DC8" w14:textId="032C53CD" w:rsidR="007D27ED" w:rsidRDefault="0017048A" w:rsidP="004E2BE0">
      <w:pPr>
        <w:pStyle w:val="Heading1"/>
      </w:pPr>
      <w:r w:rsidRPr="00342BBF">
        <w:t>References</w:t>
      </w:r>
      <w:bookmarkStart w:id="2" w:name="_Ref523487962"/>
      <w:bookmarkStart w:id="3" w:name="_Ref523653838"/>
    </w:p>
    <w:p w14:paraId="4BA95C23" w14:textId="2ED2F60C" w:rsidR="000170A0" w:rsidRPr="003467CE" w:rsidRDefault="00446BF5" w:rsidP="000170A0">
      <w:pPr>
        <w:widowControl w:val="0"/>
        <w:numPr>
          <w:ilvl w:val="0"/>
          <w:numId w:val="5"/>
        </w:numPr>
        <w:jc w:val="both"/>
        <w:rPr>
          <w:sz w:val="20"/>
          <w:szCs w:val="20"/>
        </w:rPr>
      </w:pPr>
      <w:r w:rsidRPr="00446BF5">
        <w:rPr>
          <w:sz w:val="20"/>
          <w:szCs w:val="20"/>
          <w:lang w:val="en-GB"/>
        </w:rPr>
        <w:t>R1-2100025</w:t>
      </w:r>
      <w:r w:rsidR="00120E8E" w:rsidRPr="007049A6">
        <w:rPr>
          <w:sz w:val="20"/>
          <w:szCs w:val="20"/>
        </w:rPr>
        <w:t>, “</w:t>
      </w:r>
      <w:r w:rsidR="001675F6" w:rsidRPr="001675F6">
        <w:rPr>
          <w:sz w:val="20"/>
          <w:szCs w:val="20"/>
          <w:lang w:val="en-GB"/>
        </w:rPr>
        <w:t>L</w:t>
      </w:r>
      <w:r w:rsidR="001675F6" w:rsidRPr="001675F6">
        <w:rPr>
          <w:bCs/>
          <w:sz w:val="20"/>
          <w:szCs w:val="20"/>
          <w:lang w:val="en-GB"/>
        </w:rPr>
        <w:t>S on physical layer aspects of small data transmission</w:t>
      </w:r>
      <w:r w:rsidR="00120E8E" w:rsidRPr="007049A6">
        <w:rPr>
          <w:sz w:val="20"/>
          <w:szCs w:val="20"/>
        </w:rPr>
        <w:t xml:space="preserve">”, </w:t>
      </w:r>
      <w:r w:rsidR="001675F6">
        <w:rPr>
          <w:sz w:val="20"/>
          <w:szCs w:val="20"/>
          <w:lang w:val="en-US"/>
        </w:rPr>
        <w:t>RAN2</w:t>
      </w:r>
      <w:r>
        <w:rPr>
          <w:sz w:val="20"/>
          <w:szCs w:val="20"/>
          <w:lang w:val="en-US"/>
        </w:rPr>
        <w:t>, ZTE</w:t>
      </w:r>
    </w:p>
    <w:p w14:paraId="34D10C9D" w14:textId="77777777" w:rsidR="00AE3EFC" w:rsidRPr="00974C1A" w:rsidRDefault="00AE3EFC" w:rsidP="00AE3EFC">
      <w:pPr>
        <w:widowControl w:val="0"/>
        <w:numPr>
          <w:ilvl w:val="0"/>
          <w:numId w:val="5"/>
        </w:numPr>
        <w:jc w:val="both"/>
        <w:rPr>
          <w:sz w:val="20"/>
          <w:szCs w:val="20"/>
          <w:lang w:val="en-GB"/>
        </w:rPr>
      </w:pPr>
      <w:r w:rsidRPr="00974C1A">
        <w:rPr>
          <w:sz w:val="20"/>
          <w:szCs w:val="20"/>
          <w:lang w:val="en-GB"/>
        </w:rPr>
        <w:t>R1-2110751, “Report of RAN1#106bis-e meeting”, ETSI MCC</w:t>
      </w:r>
    </w:p>
    <w:p w14:paraId="1FAFC2CE" w14:textId="77777777" w:rsidR="00AE3EFC" w:rsidRPr="00AE3EFC" w:rsidRDefault="00AE3EFC" w:rsidP="00AE3EFC">
      <w:pPr>
        <w:widowControl w:val="0"/>
        <w:ind w:left="420"/>
        <w:jc w:val="both"/>
        <w:rPr>
          <w:sz w:val="20"/>
          <w:szCs w:val="20"/>
          <w:lang w:val="en-GB"/>
        </w:rPr>
      </w:pPr>
    </w:p>
    <w:bookmarkEnd w:id="2"/>
    <w:bookmarkEnd w:id="3"/>
    <w:p w14:paraId="19C4D133" w14:textId="77D565C4" w:rsidR="0012782A" w:rsidRDefault="0012782A" w:rsidP="0012782A">
      <w:pPr>
        <w:widowControl w:val="0"/>
        <w:ind w:left="420"/>
        <w:jc w:val="both"/>
        <w:rPr>
          <w:bCs/>
          <w:sz w:val="20"/>
          <w:szCs w:val="20"/>
          <w:lang w:val="en-GB"/>
        </w:rPr>
      </w:pPr>
    </w:p>
    <w:p w14:paraId="50AE0551" w14:textId="48704CF3" w:rsidR="00120F54" w:rsidRDefault="00120F54" w:rsidP="0012782A">
      <w:pPr>
        <w:widowControl w:val="0"/>
        <w:ind w:left="420"/>
        <w:jc w:val="both"/>
        <w:rPr>
          <w:bCs/>
          <w:sz w:val="20"/>
          <w:szCs w:val="20"/>
          <w:lang w:val="en-GB"/>
        </w:rPr>
      </w:pPr>
    </w:p>
    <w:p w14:paraId="1744DCE6" w14:textId="47DB1622" w:rsidR="003D50E3" w:rsidRDefault="003D50E3" w:rsidP="0012782A">
      <w:pPr>
        <w:widowControl w:val="0"/>
        <w:ind w:left="420"/>
        <w:jc w:val="both"/>
        <w:rPr>
          <w:bCs/>
          <w:sz w:val="20"/>
          <w:szCs w:val="20"/>
          <w:lang w:val="en-GB"/>
        </w:rPr>
      </w:pPr>
    </w:p>
    <w:p w14:paraId="3AECE121" w14:textId="6E11A7E8" w:rsidR="003D50E3" w:rsidRPr="000021E3" w:rsidRDefault="003D50E3" w:rsidP="003D50E3">
      <w:pPr>
        <w:widowControl w:val="0"/>
        <w:ind w:left="420"/>
        <w:jc w:val="both"/>
        <w:rPr>
          <w:bCs/>
          <w:sz w:val="20"/>
          <w:szCs w:val="20"/>
          <w:lang w:val="en-GB"/>
        </w:rPr>
      </w:pPr>
    </w:p>
    <w:sectPr w:rsidR="003D50E3" w:rsidRPr="000021E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6B3E5" w14:textId="77777777" w:rsidR="001625B4" w:rsidRDefault="001625B4">
      <w:r>
        <w:separator/>
      </w:r>
    </w:p>
  </w:endnote>
  <w:endnote w:type="continuationSeparator" w:id="0">
    <w:p w14:paraId="758B0428" w14:textId="77777777" w:rsidR="001625B4" w:rsidRDefault="001625B4">
      <w:r>
        <w:continuationSeparator/>
      </w:r>
    </w:p>
  </w:endnote>
  <w:endnote w:type="continuationNotice" w:id="1">
    <w:p w14:paraId="2978F815" w14:textId="77777777" w:rsidR="001625B4" w:rsidRDefault="00162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3B8F3" w14:textId="77777777" w:rsidR="001625B4" w:rsidRDefault="001625B4">
      <w:r>
        <w:separator/>
      </w:r>
    </w:p>
  </w:footnote>
  <w:footnote w:type="continuationSeparator" w:id="0">
    <w:p w14:paraId="455BE52E" w14:textId="77777777" w:rsidR="001625B4" w:rsidRDefault="001625B4">
      <w:r>
        <w:continuationSeparator/>
      </w:r>
    </w:p>
  </w:footnote>
  <w:footnote w:type="continuationNotice" w:id="1">
    <w:p w14:paraId="061BD885" w14:textId="77777777" w:rsidR="001625B4" w:rsidRDefault="001625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B32A2F"/>
    <w:multiLevelType w:val="multilevel"/>
    <w:tmpl w:val="0E8668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5C0410"/>
    <w:multiLevelType w:val="multilevel"/>
    <w:tmpl w:val="F3D2669A"/>
    <w:styleLink w:val="CurrentList1"/>
    <w:lvl w:ilvl="0">
      <w:start w:val="1"/>
      <w:numFmt w:val="decimal"/>
      <w:lvlText w:val="%1."/>
      <w:lvlJc w:val="left"/>
      <w:pPr>
        <w:ind w:left="420" w:hanging="420"/>
      </w:pPr>
      <w:rPr>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6"/>
  </w:num>
  <w:num w:numId="2">
    <w:abstractNumId w:val="5"/>
  </w:num>
  <w:num w:numId="3">
    <w:abstractNumId w:val="7"/>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2"/>
  </w:num>
  <w:num w:numId="8">
    <w:abstractNumId w:val="10"/>
  </w:num>
  <w:num w:numId="9">
    <w:abstractNumId w:val="4"/>
  </w:num>
  <w:num w:numId="10">
    <w:abstractNumId w:val="13"/>
  </w:num>
  <w:num w:numId="11">
    <w:abstractNumId w:val="2"/>
  </w:num>
  <w:num w:numId="12">
    <w:abstractNumId w:val="9"/>
  </w:num>
  <w:num w:numId="13">
    <w:abstractNumId w:val="8"/>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1E3"/>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07D99"/>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6C"/>
    <w:rsid w:val="00016698"/>
    <w:rsid w:val="00016B56"/>
    <w:rsid w:val="00016DCE"/>
    <w:rsid w:val="00016DDC"/>
    <w:rsid w:val="000170A0"/>
    <w:rsid w:val="0001729B"/>
    <w:rsid w:val="00017309"/>
    <w:rsid w:val="000174A4"/>
    <w:rsid w:val="00017BE2"/>
    <w:rsid w:val="00020331"/>
    <w:rsid w:val="0002033F"/>
    <w:rsid w:val="00020483"/>
    <w:rsid w:val="000205C1"/>
    <w:rsid w:val="000208B8"/>
    <w:rsid w:val="00020D61"/>
    <w:rsid w:val="00020E8F"/>
    <w:rsid w:val="00020EA9"/>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4C0"/>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2D53"/>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253"/>
    <w:rsid w:val="000D4324"/>
    <w:rsid w:val="000D46EE"/>
    <w:rsid w:val="000D4ABD"/>
    <w:rsid w:val="000D4DE6"/>
    <w:rsid w:val="000D4DFF"/>
    <w:rsid w:val="000D4F5A"/>
    <w:rsid w:val="000D5476"/>
    <w:rsid w:val="000D55EA"/>
    <w:rsid w:val="000D5711"/>
    <w:rsid w:val="000D59D6"/>
    <w:rsid w:val="000D5AB0"/>
    <w:rsid w:val="000D5AD1"/>
    <w:rsid w:val="000D5C0C"/>
    <w:rsid w:val="000D5C91"/>
    <w:rsid w:val="000D5D29"/>
    <w:rsid w:val="000D5E4D"/>
    <w:rsid w:val="000D6262"/>
    <w:rsid w:val="000D6427"/>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D0A"/>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0B5D"/>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A0"/>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0F54"/>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82A"/>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5B4"/>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C2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3E9"/>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7AD"/>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B18"/>
    <w:rsid w:val="001C4F5F"/>
    <w:rsid w:val="001C518A"/>
    <w:rsid w:val="001C5566"/>
    <w:rsid w:val="001C5796"/>
    <w:rsid w:val="001C589B"/>
    <w:rsid w:val="001C58A6"/>
    <w:rsid w:val="001C58BA"/>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3DD4"/>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1DF4"/>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70"/>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5F6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953"/>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624"/>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1C3D"/>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54"/>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EE"/>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67FA"/>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7C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9CE"/>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1D63"/>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022"/>
    <w:rsid w:val="003A392F"/>
    <w:rsid w:val="003A3A27"/>
    <w:rsid w:val="003A42BB"/>
    <w:rsid w:val="003A44E3"/>
    <w:rsid w:val="003A45FB"/>
    <w:rsid w:val="003A48FC"/>
    <w:rsid w:val="003A4E82"/>
    <w:rsid w:val="003A5167"/>
    <w:rsid w:val="003A5848"/>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3A1"/>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0E3"/>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A42"/>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9CA"/>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CAD"/>
    <w:rsid w:val="00436F2C"/>
    <w:rsid w:val="00437027"/>
    <w:rsid w:val="004370A3"/>
    <w:rsid w:val="004370C7"/>
    <w:rsid w:val="004371AB"/>
    <w:rsid w:val="00437B3D"/>
    <w:rsid w:val="004402A7"/>
    <w:rsid w:val="0044035D"/>
    <w:rsid w:val="004403B3"/>
    <w:rsid w:val="00440EA5"/>
    <w:rsid w:val="0044131C"/>
    <w:rsid w:val="0044142F"/>
    <w:rsid w:val="00441657"/>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0C0A"/>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9BC"/>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1C16"/>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05D"/>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C36"/>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1F2"/>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349"/>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3A"/>
    <w:rsid w:val="00507754"/>
    <w:rsid w:val="00507CAF"/>
    <w:rsid w:val="00507DB4"/>
    <w:rsid w:val="00507F0D"/>
    <w:rsid w:val="00510374"/>
    <w:rsid w:val="00510444"/>
    <w:rsid w:val="00510B25"/>
    <w:rsid w:val="00510B64"/>
    <w:rsid w:val="00510FF3"/>
    <w:rsid w:val="0051179B"/>
    <w:rsid w:val="00511E67"/>
    <w:rsid w:val="005126B2"/>
    <w:rsid w:val="00512747"/>
    <w:rsid w:val="00512BF7"/>
    <w:rsid w:val="00512E1C"/>
    <w:rsid w:val="00512E6A"/>
    <w:rsid w:val="0051349D"/>
    <w:rsid w:val="005136B4"/>
    <w:rsid w:val="00513F8F"/>
    <w:rsid w:val="00514455"/>
    <w:rsid w:val="005147E7"/>
    <w:rsid w:val="00514882"/>
    <w:rsid w:val="005149A2"/>
    <w:rsid w:val="005149A3"/>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6F8"/>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0CA"/>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4FD"/>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2B8"/>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4CBB"/>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2B"/>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C3F"/>
    <w:rsid w:val="00593E31"/>
    <w:rsid w:val="00594131"/>
    <w:rsid w:val="005942B6"/>
    <w:rsid w:val="005943C6"/>
    <w:rsid w:val="00594817"/>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710"/>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1E49"/>
    <w:rsid w:val="005E254B"/>
    <w:rsid w:val="005E2BC2"/>
    <w:rsid w:val="005E2E1C"/>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696"/>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3B4F"/>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359"/>
    <w:rsid w:val="00632507"/>
    <w:rsid w:val="006326BC"/>
    <w:rsid w:val="00632927"/>
    <w:rsid w:val="00632A0E"/>
    <w:rsid w:val="00632A4C"/>
    <w:rsid w:val="00632BF5"/>
    <w:rsid w:val="00633296"/>
    <w:rsid w:val="00633780"/>
    <w:rsid w:val="006338CE"/>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24"/>
    <w:rsid w:val="00640C8D"/>
    <w:rsid w:val="00640D97"/>
    <w:rsid w:val="00641061"/>
    <w:rsid w:val="00641500"/>
    <w:rsid w:val="006416DD"/>
    <w:rsid w:val="006419ED"/>
    <w:rsid w:val="00642D10"/>
    <w:rsid w:val="006434BA"/>
    <w:rsid w:val="00643769"/>
    <w:rsid w:val="006437A9"/>
    <w:rsid w:val="006438EE"/>
    <w:rsid w:val="00643973"/>
    <w:rsid w:val="00643BF6"/>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0B4"/>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4E02"/>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42"/>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8F8"/>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0A67"/>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82E"/>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366"/>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7B"/>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70D"/>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122"/>
    <w:rsid w:val="00713219"/>
    <w:rsid w:val="0071374D"/>
    <w:rsid w:val="0071405A"/>
    <w:rsid w:val="00714095"/>
    <w:rsid w:val="00714312"/>
    <w:rsid w:val="00714526"/>
    <w:rsid w:val="00714722"/>
    <w:rsid w:val="00714A2D"/>
    <w:rsid w:val="00714D6A"/>
    <w:rsid w:val="00715138"/>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B92"/>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31"/>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30"/>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2E9"/>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C70"/>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2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4C"/>
    <w:rsid w:val="007C768A"/>
    <w:rsid w:val="007C784D"/>
    <w:rsid w:val="007C79FA"/>
    <w:rsid w:val="007C7E6E"/>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C1E"/>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30B"/>
    <w:rsid w:val="007E1479"/>
    <w:rsid w:val="007E148E"/>
    <w:rsid w:val="007E152B"/>
    <w:rsid w:val="007E1A37"/>
    <w:rsid w:val="007E1A55"/>
    <w:rsid w:val="007E1CB1"/>
    <w:rsid w:val="007E201B"/>
    <w:rsid w:val="007E2146"/>
    <w:rsid w:val="007E2B64"/>
    <w:rsid w:val="007E2B72"/>
    <w:rsid w:val="007E2B78"/>
    <w:rsid w:val="007E2E4B"/>
    <w:rsid w:val="007E2EF8"/>
    <w:rsid w:val="007E446F"/>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162"/>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634"/>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5E0"/>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D85"/>
    <w:rsid w:val="00847F04"/>
    <w:rsid w:val="00850752"/>
    <w:rsid w:val="0085130C"/>
    <w:rsid w:val="0085143E"/>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8C5"/>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15F"/>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97AC2"/>
    <w:rsid w:val="008A008F"/>
    <w:rsid w:val="008A0173"/>
    <w:rsid w:val="008A0339"/>
    <w:rsid w:val="008A03A0"/>
    <w:rsid w:val="008A0473"/>
    <w:rsid w:val="008A04C7"/>
    <w:rsid w:val="008A0506"/>
    <w:rsid w:val="008A111D"/>
    <w:rsid w:val="008A13A9"/>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4584"/>
    <w:rsid w:val="008A53C3"/>
    <w:rsid w:val="008A5405"/>
    <w:rsid w:val="008A59E9"/>
    <w:rsid w:val="008A5BFE"/>
    <w:rsid w:val="008A631F"/>
    <w:rsid w:val="008A668F"/>
    <w:rsid w:val="008A725C"/>
    <w:rsid w:val="008A72A4"/>
    <w:rsid w:val="008A7324"/>
    <w:rsid w:val="008A74E8"/>
    <w:rsid w:val="008A758D"/>
    <w:rsid w:val="008A75C5"/>
    <w:rsid w:val="008A7669"/>
    <w:rsid w:val="008A7819"/>
    <w:rsid w:val="008A78BC"/>
    <w:rsid w:val="008A7BEA"/>
    <w:rsid w:val="008A7C09"/>
    <w:rsid w:val="008A7F80"/>
    <w:rsid w:val="008B01A2"/>
    <w:rsid w:val="008B089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2A6"/>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69"/>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B04"/>
    <w:rsid w:val="008F6CD1"/>
    <w:rsid w:val="008F6D5B"/>
    <w:rsid w:val="008F6EB8"/>
    <w:rsid w:val="008F6F2B"/>
    <w:rsid w:val="008F7069"/>
    <w:rsid w:val="008F74EA"/>
    <w:rsid w:val="008F74ED"/>
    <w:rsid w:val="008F7BD6"/>
    <w:rsid w:val="008F7CEF"/>
    <w:rsid w:val="009000FD"/>
    <w:rsid w:val="009003D0"/>
    <w:rsid w:val="009005EA"/>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70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55"/>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3A4"/>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DD9"/>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88"/>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880"/>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3D"/>
    <w:rsid w:val="009F6457"/>
    <w:rsid w:val="009F669B"/>
    <w:rsid w:val="009F66DF"/>
    <w:rsid w:val="009F69C5"/>
    <w:rsid w:val="009F6CE6"/>
    <w:rsid w:val="009F6DF5"/>
    <w:rsid w:val="009F7105"/>
    <w:rsid w:val="009F7163"/>
    <w:rsid w:val="009F7169"/>
    <w:rsid w:val="009F76CB"/>
    <w:rsid w:val="009F7883"/>
    <w:rsid w:val="00A00519"/>
    <w:rsid w:val="00A0056B"/>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6B8"/>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76E"/>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3848"/>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423"/>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BCE"/>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0F"/>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5B81"/>
    <w:rsid w:val="00AC61B3"/>
    <w:rsid w:val="00AC63F4"/>
    <w:rsid w:val="00AC6521"/>
    <w:rsid w:val="00AC690A"/>
    <w:rsid w:val="00AC6D0A"/>
    <w:rsid w:val="00AC7BD3"/>
    <w:rsid w:val="00AD068D"/>
    <w:rsid w:val="00AD0EAA"/>
    <w:rsid w:val="00AD12BD"/>
    <w:rsid w:val="00AD163D"/>
    <w:rsid w:val="00AD1B33"/>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2DD9"/>
    <w:rsid w:val="00AE3004"/>
    <w:rsid w:val="00AE31BA"/>
    <w:rsid w:val="00AE32B3"/>
    <w:rsid w:val="00AE34B9"/>
    <w:rsid w:val="00AE39C1"/>
    <w:rsid w:val="00AE3CE1"/>
    <w:rsid w:val="00AE3EFC"/>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753"/>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40"/>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CE6"/>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0FD"/>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0B05"/>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B94"/>
    <w:rsid w:val="00BA7C05"/>
    <w:rsid w:val="00BA7EA0"/>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2DF"/>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A5A"/>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66B"/>
    <w:rsid w:val="00C2577C"/>
    <w:rsid w:val="00C25D3A"/>
    <w:rsid w:val="00C25F37"/>
    <w:rsid w:val="00C261FB"/>
    <w:rsid w:val="00C263AE"/>
    <w:rsid w:val="00C267D7"/>
    <w:rsid w:val="00C26871"/>
    <w:rsid w:val="00C268B7"/>
    <w:rsid w:val="00C2695A"/>
    <w:rsid w:val="00C26E79"/>
    <w:rsid w:val="00C26FB4"/>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33F"/>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2CD"/>
    <w:rsid w:val="00C4239F"/>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6AD2"/>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67DA4"/>
    <w:rsid w:val="00C7040D"/>
    <w:rsid w:val="00C70B8C"/>
    <w:rsid w:val="00C71468"/>
    <w:rsid w:val="00C715D5"/>
    <w:rsid w:val="00C717D7"/>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292"/>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62"/>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A80"/>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0FCA"/>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A6C"/>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1FA4"/>
    <w:rsid w:val="00D22148"/>
    <w:rsid w:val="00D22646"/>
    <w:rsid w:val="00D22D2B"/>
    <w:rsid w:val="00D2322E"/>
    <w:rsid w:val="00D23556"/>
    <w:rsid w:val="00D2390D"/>
    <w:rsid w:val="00D23972"/>
    <w:rsid w:val="00D23B89"/>
    <w:rsid w:val="00D23BDF"/>
    <w:rsid w:val="00D23CE2"/>
    <w:rsid w:val="00D23EAA"/>
    <w:rsid w:val="00D2592C"/>
    <w:rsid w:val="00D2601E"/>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271"/>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4B"/>
    <w:rsid w:val="00D5146D"/>
    <w:rsid w:val="00D51565"/>
    <w:rsid w:val="00D5163E"/>
    <w:rsid w:val="00D51AAF"/>
    <w:rsid w:val="00D51CBB"/>
    <w:rsid w:val="00D51E0C"/>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5FF4"/>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583"/>
    <w:rsid w:val="00DA0FC0"/>
    <w:rsid w:val="00DA1C89"/>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9F6"/>
    <w:rsid w:val="00DE5E26"/>
    <w:rsid w:val="00DE5E4B"/>
    <w:rsid w:val="00DE5F92"/>
    <w:rsid w:val="00DE603C"/>
    <w:rsid w:val="00DE61AA"/>
    <w:rsid w:val="00DE629B"/>
    <w:rsid w:val="00DE7012"/>
    <w:rsid w:val="00DE716A"/>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6D98"/>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24"/>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67C"/>
    <w:rsid w:val="00E35BD7"/>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6E10"/>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31"/>
    <w:rsid w:val="00E6306D"/>
    <w:rsid w:val="00E630F7"/>
    <w:rsid w:val="00E632B7"/>
    <w:rsid w:val="00E639CE"/>
    <w:rsid w:val="00E63AF2"/>
    <w:rsid w:val="00E63DE2"/>
    <w:rsid w:val="00E6412A"/>
    <w:rsid w:val="00E64286"/>
    <w:rsid w:val="00E64763"/>
    <w:rsid w:val="00E64C11"/>
    <w:rsid w:val="00E64CDD"/>
    <w:rsid w:val="00E65960"/>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93F"/>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52B"/>
    <w:rsid w:val="00EE496C"/>
    <w:rsid w:val="00EE4B7C"/>
    <w:rsid w:val="00EE4B9E"/>
    <w:rsid w:val="00EE4E3B"/>
    <w:rsid w:val="00EE5112"/>
    <w:rsid w:val="00EE62B4"/>
    <w:rsid w:val="00EE632A"/>
    <w:rsid w:val="00EE636D"/>
    <w:rsid w:val="00EE6453"/>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25"/>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6C7"/>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6F8A"/>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4F49"/>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370"/>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58C"/>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AB5"/>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6A1"/>
    <w:rsid w:val="00F8270B"/>
    <w:rsid w:val="00F82852"/>
    <w:rsid w:val="00F82CD8"/>
    <w:rsid w:val="00F831B2"/>
    <w:rsid w:val="00F83301"/>
    <w:rsid w:val="00F837A7"/>
    <w:rsid w:val="00F837DD"/>
    <w:rsid w:val="00F84232"/>
    <w:rsid w:val="00F842F9"/>
    <w:rsid w:val="00F84415"/>
    <w:rsid w:val="00F84820"/>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8E2"/>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880"/>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numbering" w:customStyle="1" w:styleId="CurrentList1">
    <w:name w:val="Current List1"/>
    <w:uiPriority w:val="99"/>
    <w:rsid w:val="000021E3"/>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1419165">
      <w:bodyDiv w:val="1"/>
      <w:marLeft w:val="0"/>
      <w:marRight w:val="0"/>
      <w:marTop w:val="0"/>
      <w:marBottom w:val="0"/>
      <w:divBdr>
        <w:top w:val="none" w:sz="0" w:space="0" w:color="auto"/>
        <w:left w:val="none" w:sz="0" w:space="0" w:color="auto"/>
        <w:bottom w:val="none" w:sz="0" w:space="0" w:color="auto"/>
        <w:right w:val="none" w:sz="0" w:space="0" w:color="auto"/>
      </w:divBdr>
      <w:divsChild>
        <w:div w:id="1772780613">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3350932">
      <w:bodyDiv w:val="1"/>
      <w:marLeft w:val="0"/>
      <w:marRight w:val="0"/>
      <w:marTop w:val="0"/>
      <w:marBottom w:val="0"/>
      <w:divBdr>
        <w:top w:val="none" w:sz="0" w:space="0" w:color="auto"/>
        <w:left w:val="none" w:sz="0" w:space="0" w:color="auto"/>
        <w:bottom w:val="none" w:sz="0" w:space="0" w:color="auto"/>
        <w:right w:val="none" w:sz="0" w:space="0" w:color="auto"/>
      </w:divBdr>
      <w:divsChild>
        <w:div w:id="295188998">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282573">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4231213">
      <w:bodyDiv w:val="1"/>
      <w:marLeft w:val="0"/>
      <w:marRight w:val="0"/>
      <w:marTop w:val="0"/>
      <w:marBottom w:val="0"/>
      <w:divBdr>
        <w:top w:val="none" w:sz="0" w:space="0" w:color="auto"/>
        <w:left w:val="none" w:sz="0" w:space="0" w:color="auto"/>
        <w:bottom w:val="none" w:sz="0" w:space="0" w:color="auto"/>
        <w:right w:val="none" w:sz="0" w:space="0" w:color="auto"/>
      </w:divBdr>
      <w:divsChild>
        <w:div w:id="480778987">
          <w:marLeft w:val="0"/>
          <w:marRight w:val="0"/>
          <w:marTop w:val="0"/>
          <w:marBottom w:val="0"/>
          <w:divBdr>
            <w:top w:val="none" w:sz="0" w:space="0" w:color="auto"/>
            <w:left w:val="none" w:sz="0" w:space="0" w:color="auto"/>
            <w:bottom w:val="none" w:sz="0" w:space="0" w:color="auto"/>
            <w:right w:val="none" w:sz="0" w:space="0" w:color="auto"/>
          </w:divBdr>
        </w:div>
        <w:div w:id="744230851">
          <w:marLeft w:val="0"/>
          <w:marRight w:val="0"/>
          <w:marTop w:val="0"/>
          <w:marBottom w:val="0"/>
          <w:divBdr>
            <w:top w:val="none" w:sz="0" w:space="0" w:color="auto"/>
            <w:left w:val="none" w:sz="0" w:space="0" w:color="auto"/>
            <w:bottom w:val="none" w:sz="0" w:space="0" w:color="auto"/>
            <w:right w:val="none" w:sz="0" w:space="0" w:color="auto"/>
          </w:divBdr>
        </w:div>
        <w:div w:id="741409065">
          <w:marLeft w:val="0"/>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092551">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832178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8079846">
      <w:bodyDiv w:val="1"/>
      <w:marLeft w:val="0"/>
      <w:marRight w:val="0"/>
      <w:marTop w:val="0"/>
      <w:marBottom w:val="0"/>
      <w:divBdr>
        <w:top w:val="none" w:sz="0" w:space="0" w:color="auto"/>
        <w:left w:val="none" w:sz="0" w:space="0" w:color="auto"/>
        <w:bottom w:val="none" w:sz="0" w:space="0" w:color="auto"/>
        <w:right w:val="none" w:sz="0" w:space="0" w:color="auto"/>
      </w:divBdr>
      <w:divsChild>
        <w:div w:id="1715034196">
          <w:marLeft w:val="0"/>
          <w:marRight w:val="0"/>
          <w:marTop w:val="0"/>
          <w:marBottom w:val="0"/>
          <w:divBdr>
            <w:top w:val="none" w:sz="0" w:space="0" w:color="auto"/>
            <w:left w:val="none" w:sz="0" w:space="0" w:color="auto"/>
            <w:bottom w:val="none" w:sz="0" w:space="0" w:color="auto"/>
            <w:right w:val="none" w:sz="0" w:space="0" w:color="auto"/>
          </w:divBdr>
        </w:div>
        <w:div w:id="658384539">
          <w:marLeft w:val="0"/>
          <w:marRight w:val="0"/>
          <w:marTop w:val="0"/>
          <w:marBottom w:val="0"/>
          <w:divBdr>
            <w:top w:val="none" w:sz="0" w:space="0" w:color="auto"/>
            <w:left w:val="none" w:sz="0" w:space="0" w:color="auto"/>
            <w:bottom w:val="none" w:sz="0" w:space="0" w:color="auto"/>
            <w:right w:val="none" w:sz="0" w:space="0" w:color="auto"/>
          </w:divBdr>
        </w:div>
        <w:div w:id="167792848">
          <w:marLeft w:val="0"/>
          <w:marRight w:val="0"/>
          <w:marTop w:val="0"/>
          <w:marBottom w:val="0"/>
          <w:divBdr>
            <w:top w:val="none" w:sz="0" w:space="0" w:color="auto"/>
            <w:left w:val="none" w:sz="0" w:space="0" w:color="auto"/>
            <w:bottom w:val="none" w:sz="0" w:space="0" w:color="auto"/>
            <w:right w:val="none" w:sz="0" w:space="0" w:color="auto"/>
          </w:divBdr>
        </w:div>
        <w:div w:id="1701083344">
          <w:marLeft w:val="0"/>
          <w:marRight w:val="0"/>
          <w:marTop w:val="0"/>
          <w:marBottom w:val="0"/>
          <w:divBdr>
            <w:top w:val="none" w:sz="0" w:space="0" w:color="auto"/>
            <w:left w:val="none" w:sz="0" w:space="0" w:color="auto"/>
            <w:bottom w:val="none" w:sz="0" w:space="0" w:color="auto"/>
            <w:right w:val="none" w:sz="0" w:space="0" w:color="auto"/>
          </w:divBdr>
        </w:div>
        <w:div w:id="1743988741">
          <w:marLeft w:val="0"/>
          <w:marRight w:val="0"/>
          <w:marTop w:val="0"/>
          <w:marBottom w:val="0"/>
          <w:divBdr>
            <w:top w:val="none" w:sz="0" w:space="0" w:color="auto"/>
            <w:left w:val="none" w:sz="0" w:space="0" w:color="auto"/>
            <w:bottom w:val="none" w:sz="0" w:space="0" w:color="auto"/>
            <w:right w:val="none" w:sz="0" w:space="0" w:color="auto"/>
          </w:divBdr>
        </w:div>
        <w:div w:id="1644970011">
          <w:marLeft w:val="0"/>
          <w:marRight w:val="0"/>
          <w:marTop w:val="0"/>
          <w:marBottom w:val="0"/>
          <w:divBdr>
            <w:top w:val="none" w:sz="0" w:space="0" w:color="auto"/>
            <w:left w:val="none" w:sz="0" w:space="0" w:color="auto"/>
            <w:bottom w:val="none" w:sz="0" w:space="0" w:color="auto"/>
            <w:right w:val="none" w:sz="0" w:space="0" w:color="auto"/>
          </w:divBdr>
        </w:div>
        <w:div w:id="1967731330">
          <w:marLeft w:val="0"/>
          <w:marRight w:val="0"/>
          <w:marTop w:val="0"/>
          <w:marBottom w:val="0"/>
          <w:divBdr>
            <w:top w:val="none" w:sz="0" w:space="0" w:color="auto"/>
            <w:left w:val="none" w:sz="0" w:space="0" w:color="auto"/>
            <w:bottom w:val="none" w:sz="0" w:space="0" w:color="auto"/>
            <w:right w:val="none" w:sz="0" w:space="0" w:color="auto"/>
          </w:divBdr>
        </w:div>
        <w:div w:id="872621043">
          <w:marLeft w:val="0"/>
          <w:marRight w:val="0"/>
          <w:marTop w:val="0"/>
          <w:marBottom w:val="0"/>
          <w:divBdr>
            <w:top w:val="none" w:sz="0" w:space="0" w:color="auto"/>
            <w:left w:val="none" w:sz="0" w:space="0" w:color="auto"/>
            <w:bottom w:val="none" w:sz="0" w:space="0" w:color="auto"/>
            <w:right w:val="none" w:sz="0" w:space="0" w:color="auto"/>
          </w:divBdr>
        </w:div>
        <w:div w:id="688600805">
          <w:marLeft w:val="0"/>
          <w:marRight w:val="0"/>
          <w:marTop w:val="0"/>
          <w:marBottom w:val="0"/>
          <w:divBdr>
            <w:top w:val="none" w:sz="0" w:space="0" w:color="auto"/>
            <w:left w:val="none" w:sz="0" w:space="0" w:color="auto"/>
            <w:bottom w:val="none" w:sz="0" w:space="0" w:color="auto"/>
            <w:right w:val="none" w:sz="0" w:space="0" w:color="auto"/>
          </w:divBdr>
        </w:div>
        <w:div w:id="393045405">
          <w:marLeft w:val="0"/>
          <w:marRight w:val="0"/>
          <w:marTop w:val="0"/>
          <w:marBottom w:val="0"/>
          <w:divBdr>
            <w:top w:val="none" w:sz="0" w:space="0" w:color="auto"/>
            <w:left w:val="none" w:sz="0" w:space="0" w:color="auto"/>
            <w:bottom w:val="none" w:sz="0" w:space="0" w:color="auto"/>
            <w:right w:val="none" w:sz="0" w:space="0" w:color="auto"/>
          </w:divBdr>
        </w:div>
        <w:div w:id="1529370110">
          <w:marLeft w:val="0"/>
          <w:marRight w:val="0"/>
          <w:marTop w:val="0"/>
          <w:marBottom w:val="0"/>
          <w:divBdr>
            <w:top w:val="none" w:sz="0" w:space="0" w:color="auto"/>
            <w:left w:val="none" w:sz="0" w:space="0" w:color="auto"/>
            <w:bottom w:val="none" w:sz="0" w:space="0" w:color="auto"/>
            <w:right w:val="none" w:sz="0" w:space="0" w:color="auto"/>
          </w:divBdr>
        </w:div>
        <w:div w:id="472868947">
          <w:marLeft w:val="0"/>
          <w:marRight w:val="0"/>
          <w:marTop w:val="0"/>
          <w:marBottom w:val="0"/>
          <w:divBdr>
            <w:top w:val="none" w:sz="0" w:space="0" w:color="auto"/>
            <w:left w:val="none" w:sz="0" w:space="0" w:color="auto"/>
            <w:bottom w:val="none" w:sz="0" w:space="0" w:color="auto"/>
            <w:right w:val="none" w:sz="0" w:space="0" w:color="auto"/>
          </w:divBdr>
        </w:div>
        <w:div w:id="1764716114">
          <w:marLeft w:val="0"/>
          <w:marRight w:val="0"/>
          <w:marTop w:val="0"/>
          <w:marBottom w:val="0"/>
          <w:divBdr>
            <w:top w:val="none" w:sz="0" w:space="0" w:color="auto"/>
            <w:left w:val="none" w:sz="0" w:space="0" w:color="auto"/>
            <w:bottom w:val="none" w:sz="0" w:space="0" w:color="auto"/>
            <w:right w:val="none" w:sz="0" w:space="0" w:color="auto"/>
          </w:divBdr>
        </w:div>
        <w:div w:id="1590770901">
          <w:marLeft w:val="0"/>
          <w:marRight w:val="0"/>
          <w:marTop w:val="0"/>
          <w:marBottom w:val="0"/>
          <w:divBdr>
            <w:top w:val="none" w:sz="0" w:space="0" w:color="auto"/>
            <w:left w:val="none" w:sz="0" w:space="0" w:color="auto"/>
            <w:bottom w:val="none" w:sz="0" w:space="0" w:color="auto"/>
            <w:right w:val="none" w:sz="0" w:space="0" w:color="auto"/>
          </w:divBdr>
        </w:div>
        <w:div w:id="1168516407">
          <w:marLeft w:val="0"/>
          <w:marRight w:val="0"/>
          <w:marTop w:val="0"/>
          <w:marBottom w:val="0"/>
          <w:divBdr>
            <w:top w:val="none" w:sz="0" w:space="0" w:color="auto"/>
            <w:left w:val="none" w:sz="0" w:space="0" w:color="auto"/>
            <w:bottom w:val="none" w:sz="0" w:space="0" w:color="auto"/>
            <w:right w:val="none" w:sz="0" w:space="0" w:color="auto"/>
          </w:divBdr>
        </w:div>
        <w:div w:id="1290941544">
          <w:marLeft w:val="0"/>
          <w:marRight w:val="0"/>
          <w:marTop w:val="0"/>
          <w:marBottom w:val="0"/>
          <w:divBdr>
            <w:top w:val="none" w:sz="0" w:space="0" w:color="auto"/>
            <w:left w:val="none" w:sz="0" w:space="0" w:color="auto"/>
            <w:bottom w:val="none" w:sz="0" w:space="0" w:color="auto"/>
            <w:right w:val="none" w:sz="0" w:space="0" w:color="auto"/>
          </w:divBdr>
        </w:div>
        <w:div w:id="549683193">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4845891">
      <w:bodyDiv w:val="1"/>
      <w:marLeft w:val="0"/>
      <w:marRight w:val="0"/>
      <w:marTop w:val="0"/>
      <w:marBottom w:val="0"/>
      <w:divBdr>
        <w:top w:val="none" w:sz="0" w:space="0" w:color="auto"/>
        <w:left w:val="none" w:sz="0" w:space="0" w:color="auto"/>
        <w:bottom w:val="none" w:sz="0" w:space="0" w:color="auto"/>
        <w:right w:val="none" w:sz="0" w:space="0" w:color="auto"/>
      </w:divBdr>
      <w:divsChild>
        <w:div w:id="751507425">
          <w:marLeft w:val="0"/>
          <w:marRight w:val="0"/>
          <w:marTop w:val="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0051032">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8666996">
      <w:bodyDiv w:val="1"/>
      <w:marLeft w:val="0"/>
      <w:marRight w:val="0"/>
      <w:marTop w:val="0"/>
      <w:marBottom w:val="0"/>
      <w:divBdr>
        <w:top w:val="none" w:sz="0" w:space="0" w:color="auto"/>
        <w:left w:val="none" w:sz="0" w:space="0" w:color="auto"/>
        <w:bottom w:val="none" w:sz="0" w:space="0" w:color="auto"/>
        <w:right w:val="none" w:sz="0" w:space="0" w:color="auto"/>
      </w:divBdr>
      <w:divsChild>
        <w:div w:id="561527604">
          <w:marLeft w:val="0"/>
          <w:marRight w:val="0"/>
          <w:marTop w:val="0"/>
          <w:marBottom w:val="0"/>
          <w:divBdr>
            <w:top w:val="none" w:sz="0" w:space="0" w:color="auto"/>
            <w:left w:val="none" w:sz="0" w:space="0" w:color="auto"/>
            <w:bottom w:val="none" w:sz="0" w:space="0" w:color="auto"/>
            <w:right w:val="none" w:sz="0" w:space="0" w:color="auto"/>
          </w:divBdr>
        </w:div>
        <w:div w:id="1168985705">
          <w:marLeft w:val="0"/>
          <w:marRight w:val="0"/>
          <w:marTop w:val="0"/>
          <w:marBottom w:val="0"/>
          <w:divBdr>
            <w:top w:val="none" w:sz="0" w:space="0" w:color="auto"/>
            <w:left w:val="none" w:sz="0" w:space="0" w:color="auto"/>
            <w:bottom w:val="none" w:sz="0" w:space="0" w:color="auto"/>
            <w:right w:val="none" w:sz="0" w:space="0" w:color="auto"/>
          </w:divBdr>
        </w:div>
        <w:div w:id="932008844">
          <w:marLeft w:val="0"/>
          <w:marRight w:val="0"/>
          <w:marTop w:val="0"/>
          <w:marBottom w:val="0"/>
          <w:divBdr>
            <w:top w:val="none" w:sz="0" w:space="0" w:color="auto"/>
            <w:left w:val="none" w:sz="0" w:space="0" w:color="auto"/>
            <w:bottom w:val="none" w:sz="0" w:space="0" w:color="auto"/>
            <w:right w:val="none" w:sz="0" w:space="0" w:color="auto"/>
          </w:divBdr>
        </w:div>
        <w:div w:id="1248537682">
          <w:marLeft w:val="0"/>
          <w:marRight w:val="0"/>
          <w:marTop w:val="0"/>
          <w:marBottom w:val="0"/>
          <w:divBdr>
            <w:top w:val="none" w:sz="0" w:space="0" w:color="auto"/>
            <w:left w:val="none" w:sz="0" w:space="0" w:color="auto"/>
            <w:bottom w:val="none" w:sz="0" w:space="0" w:color="auto"/>
            <w:right w:val="none" w:sz="0" w:space="0" w:color="auto"/>
          </w:divBdr>
        </w:div>
        <w:div w:id="1475678871">
          <w:marLeft w:val="0"/>
          <w:marRight w:val="0"/>
          <w:marTop w:val="0"/>
          <w:marBottom w:val="0"/>
          <w:divBdr>
            <w:top w:val="none" w:sz="0" w:space="0" w:color="auto"/>
            <w:left w:val="none" w:sz="0" w:space="0" w:color="auto"/>
            <w:bottom w:val="none" w:sz="0" w:space="0" w:color="auto"/>
            <w:right w:val="none" w:sz="0" w:space="0" w:color="auto"/>
          </w:divBdr>
        </w:div>
      </w:divsChild>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670841">
      <w:bodyDiv w:val="1"/>
      <w:marLeft w:val="0"/>
      <w:marRight w:val="0"/>
      <w:marTop w:val="0"/>
      <w:marBottom w:val="0"/>
      <w:divBdr>
        <w:top w:val="none" w:sz="0" w:space="0" w:color="auto"/>
        <w:left w:val="none" w:sz="0" w:space="0" w:color="auto"/>
        <w:bottom w:val="none" w:sz="0" w:space="0" w:color="auto"/>
        <w:right w:val="none" w:sz="0" w:space="0" w:color="auto"/>
      </w:divBdr>
      <w:divsChild>
        <w:div w:id="376778790">
          <w:marLeft w:val="0"/>
          <w:marRight w:val="0"/>
          <w:marTop w:val="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23527794">
      <w:bodyDiv w:val="1"/>
      <w:marLeft w:val="0"/>
      <w:marRight w:val="0"/>
      <w:marTop w:val="0"/>
      <w:marBottom w:val="0"/>
      <w:divBdr>
        <w:top w:val="none" w:sz="0" w:space="0" w:color="auto"/>
        <w:left w:val="none" w:sz="0" w:space="0" w:color="auto"/>
        <w:bottom w:val="none" w:sz="0" w:space="0" w:color="auto"/>
        <w:right w:val="none" w:sz="0" w:space="0" w:color="auto"/>
      </w:divBdr>
      <w:divsChild>
        <w:div w:id="168326935">
          <w:marLeft w:val="0"/>
          <w:marRight w:val="0"/>
          <w:marTop w:val="0"/>
          <w:marBottom w:val="0"/>
          <w:divBdr>
            <w:top w:val="none" w:sz="0" w:space="0" w:color="auto"/>
            <w:left w:val="none" w:sz="0" w:space="0" w:color="auto"/>
            <w:bottom w:val="none" w:sz="0" w:space="0" w:color="auto"/>
            <w:right w:val="none" w:sz="0" w:space="0" w:color="auto"/>
          </w:divBdr>
        </w:div>
      </w:divsChild>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18421683">
      <w:bodyDiv w:val="1"/>
      <w:marLeft w:val="0"/>
      <w:marRight w:val="0"/>
      <w:marTop w:val="0"/>
      <w:marBottom w:val="0"/>
      <w:divBdr>
        <w:top w:val="none" w:sz="0" w:space="0" w:color="auto"/>
        <w:left w:val="none" w:sz="0" w:space="0" w:color="auto"/>
        <w:bottom w:val="none" w:sz="0" w:space="0" w:color="auto"/>
        <w:right w:val="none" w:sz="0" w:space="0" w:color="auto"/>
      </w:divBdr>
      <w:divsChild>
        <w:div w:id="1917590088">
          <w:marLeft w:val="0"/>
          <w:marRight w:val="0"/>
          <w:marTop w:val="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7593210">
      <w:bodyDiv w:val="1"/>
      <w:marLeft w:val="0"/>
      <w:marRight w:val="0"/>
      <w:marTop w:val="0"/>
      <w:marBottom w:val="0"/>
      <w:divBdr>
        <w:top w:val="none" w:sz="0" w:space="0" w:color="auto"/>
        <w:left w:val="none" w:sz="0" w:space="0" w:color="auto"/>
        <w:bottom w:val="none" w:sz="0" w:space="0" w:color="auto"/>
        <w:right w:val="none" w:sz="0" w:space="0" w:color="auto"/>
      </w:divBdr>
      <w:divsChild>
        <w:div w:id="905846867">
          <w:marLeft w:val="0"/>
          <w:marRight w:val="0"/>
          <w:marTop w:val="0"/>
          <w:marBottom w:val="0"/>
          <w:divBdr>
            <w:top w:val="none" w:sz="0" w:space="0" w:color="auto"/>
            <w:left w:val="none" w:sz="0" w:space="0" w:color="auto"/>
            <w:bottom w:val="none" w:sz="0" w:space="0" w:color="auto"/>
            <w:right w:val="none" w:sz="0" w:space="0" w:color="auto"/>
          </w:divBdr>
        </w:div>
        <w:div w:id="458958113">
          <w:marLeft w:val="0"/>
          <w:marRight w:val="0"/>
          <w:marTop w:val="0"/>
          <w:marBottom w:val="0"/>
          <w:divBdr>
            <w:top w:val="none" w:sz="0" w:space="0" w:color="auto"/>
            <w:left w:val="none" w:sz="0" w:space="0" w:color="auto"/>
            <w:bottom w:val="none" w:sz="0" w:space="0" w:color="auto"/>
            <w:right w:val="none" w:sz="0" w:space="0" w:color="auto"/>
          </w:divBdr>
        </w:div>
        <w:div w:id="140969396">
          <w:marLeft w:val="0"/>
          <w:marRight w:val="0"/>
          <w:marTop w:val="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0540759">
      <w:bodyDiv w:val="1"/>
      <w:marLeft w:val="0"/>
      <w:marRight w:val="0"/>
      <w:marTop w:val="0"/>
      <w:marBottom w:val="0"/>
      <w:divBdr>
        <w:top w:val="none" w:sz="0" w:space="0" w:color="auto"/>
        <w:left w:val="none" w:sz="0" w:space="0" w:color="auto"/>
        <w:bottom w:val="none" w:sz="0" w:space="0" w:color="auto"/>
        <w:right w:val="none" w:sz="0" w:space="0" w:color="auto"/>
      </w:divBdr>
      <w:divsChild>
        <w:div w:id="297415996">
          <w:marLeft w:val="0"/>
          <w:marRight w:val="0"/>
          <w:marTop w:val="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777891">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111</TotalTime>
  <Pages>2</Pages>
  <Words>509</Words>
  <Characters>2906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3409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19</cp:revision>
  <cp:lastPrinted>2019-08-16T17:50:00Z</cp:lastPrinted>
  <dcterms:created xsi:type="dcterms:W3CDTF">2021-10-01T09:48:00Z</dcterms:created>
  <dcterms:modified xsi:type="dcterms:W3CDTF">2021-11-05T14:16:00Z</dcterms:modified>
  <cp:category/>
</cp:coreProperties>
</file>